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97E0" w14:textId="77777777" w:rsidR="005778E4" w:rsidRPr="00572B3A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Number</w:t>
      </w:r>
      <w:r w:rsidR="008D029F">
        <w:rPr>
          <w:rFonts w:ascii="Arial" w:hAnsi="Arial" w:cs="Arial"/>
          <w:sz w:val="22"/>
          <w:szCs w:val="22"/>
        </w:rPr>
        <w:t>:</w:t>
      </w:r>
      <w:r w:rsidR="008D029F">
        <w:rPr>
          <w:rFonts w:ascii="Arial" w:hAnsi="Arial" w:cs="Arial"/>
          <w:sz w:val="22"/>
          <w:szCs w:val="22"/>
        </w:rPr>
        <w:tab/>
      </w:r>
      <w:r w:rsidRPr="00D718A4">
        <w:rPr>
          <w:rFonts w:ascii="Arial" w:hAnsi="Arial" w:cs="Arial"/>
          <w:sz w:val="22"/>
          <w:szCs w:val="22"/>
          <w:highlight w:val="yellow"/>
        </w:rPr>
        <w:t>PL- XXX</w:t>
      </w:r>
      <w:r w:rsidRPr="00572B3A">
        <w:rPr>
          <w:rFonts w:ascii="Arial" w:hAnsi="Arial" w:cs="Arial"/>
          <w:sz w:val="22"/>
          <w:szCs w:val="22"/>
        </w:rPr>
        <w:t xml:space="preserve"> </w:t>
      </w:r>
    </w:p>
    <w:p w14:paraId="38923EF2" w14:textId="77777777" w:rsidR="005778E4" w:rsidRPr="00572B3A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Date:</w:t>
      </w:r>
      <w:r w:rsidR="008D029F">
        <w:rPr>
          <w:rFonts w:ascii="Arial" w:hAnsi="Arial" w:cs="Arial"/>
          <w:sz w:val="22"/>
          <w:szCs w:val="22"/>
        </w:rPr>
        <w:tab/>
      </w:r>
      <w:r w:rsidR="008D029F">
        <w:rPr>
          <w:rFonts w:ascii="Arial" w:hAnsi="Arial" w:cs="Arial"/>
          <w:sz w:val="22"/>
          <w:szCs w:val="22"/>
        </w:rPr>
        <w:tab/>
      </w:r>
      <w:r w:rsidR="009D4890" w:rsidRPr="009D4890">
        <w:rPr>
          <w:rFonts w:ascii="Arial" w:hAnsi="Arial" w:cs="Arial"/>
          <w:sz w:val="22"/>
          <w:szCs w:val="22"/>
          <w:highlight w:val="yellow"/>
        </w:rPr>
        <w:t>XX September 2018</w:t>
      </w:r>
    </w:p>
    <w:p w14:paraId="5D85AA32" w14:textId="77777777" w:rsidR="005778E4" w:rsidRPr="00572B3A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From:</w:t>
      </w:r>
      <w:r w:rsidR="008D029F">
        <w:rPr>
          <w:rFonts w:ascii="Arial" w:hAnsi="Arial" w:cs="Arial"/>
          <w:sz w:val="22"/>
          <w:szCs w:val="22"/>
        </w:rPr>
        <w:tab/>
      </w:r>
      <w:r w:rsidR="008D029F">
        <w:rPr>
          <w:rFonts w:ascii="Arial" w:hAnsi="Arial" w:cs="Arial"/>
          <w:sz w:val="22"/>
          <w:szCs w:val="22"/>
        </w:rPr>
        <w:tab/>
      </w:r>
      <w:r w:rsidRPr="00572B3A">
        <w:rPr>
          <w:rFonts w:ascii="Arial" w:hAnsi="Arial" w:cs="Arial"/>
          <w:sz w:val="22"/>
          <w:szCs w:val="22"/>
        </w:rPr>
        <w:t>Canadia</w:t>
      </w:r>
      <w:r w:rsidR="003B6D93">
        <w:rPr>
          <w:rFonts w:ascii="Arial" w:hAnsi="Arial" w:cs="Arial"/>
          <w:sz w:val="22"/>
          <w:szCs w:val="22"/>
        </w:rPr>
        <w:t>n Numbering Administrator (CNA)</w:t>
      </w:r>
    </w:p>
    <w:p w14:paraId="6BDF29A9" w14:textId="77777777" w:rsidR="005778E4" w:rsidRDefault="005778E4" w:rsidP="001461A4">
      <w:pPr>
        <w:rPr>
          <w:rFonts w:ascii="Arial" w:hAnsi="Arial" w:cs="Arial"/>
          <w:sz w:val="22"/>
          <w:szCs w:val="22"/>
        </w:rPr>
      </w:pPr>
      <w:r w:rsidRPr="00572B3A">
        <w:rPr>
          <w:rFonts w:ascii="Arial" w:hAnsi="Arial" w:cs="Arial"/>
          <w:b/>
          <w:bCs/>
          <w:sz w:val="22"/>
          <w:szCs w:val="22"/>
        </w:rPr>
        <w:t>Subject:</w:t>
      </w:r>
      <w:r w:rsidR="00B32D75">
        <w:rPr>
          <w:rFonts w:ascii="Arial" w:hAnsi="Arial" w:cs="Arial"/>
          <w:sz w:val="22"/>
          <w:szCs w:val="22"/>
        </w:rPr>
        <w:tab/>
      </w:r>
      <w:r w:rsidRPr="00ED101B">
        <w:rPr>
          <w:rFonts w:ascii="Arial" w:hAnsi="Arial" w:cs="Arial"/>
          <w:sz w:val="22"/>
          <w:szCs w:val="22"/>
        </w:rPr>
        <w:t xml:space="preserve">NPA </w:t>
      </w:r>
      <w:r w:rsidR="009D4890">
        <w:rPr>
          <w:rFonts w:ascii="Arial" w:hAnsi="Arial" w:cs="Arial"/>
          <w:sz w:val="22"/>
          <w:szCs w:val="22"/>
        </w:rPr>
        <w:t>428</w:t>
      </w:r>
      <w:r w:rsidR="00F15BD6" w:rsidRPr="00ED101B">
        <w:rPr>
          <w:rFonts w:ascii="Arial" w:hAnsi="Arial" w:cs="Arial"/>
          <w:sz w:val="22"/>
          <w:szCs w:val="22"/>
        </w:rPr>
        <w:t xml:space="preserve"> to</w:t>
      </w:r>
      <w:r w:rsidR="00F15BD6">
        <w:rPr>
          <w:rFonts w:ascii="Arial" w:hAnsi="Arial" w:cs="Arial"/>
          <w:sz w:val="22"/>
          <w:szCs w:val="22"/>
        </w:rPr>
        <w:t xml:space="preserve"> O</w:t>
      </w:r>
      <w:r w:rsidRPr="00572B3A">
        <w:rPr>
          <w:rFonts w:ascii="Arial" w:hAnsi="Arial" w:cs="Arial"/>
          <w:sz w:val="22"/>
          <w:szCs w:val="22"/>
        </w:rPr>
        <w:t xml:space="preserve">verlay NPA </w:t>
      </w:r>
      <w:r w:rsidR="009D4890">
        <w:rPr>
          <w:rFonts w:ascii="Arial" w:hAnsi="Arial" w:cs="Arial"/>
          <w:sz w:val="22"/>
          <w:szCs w:val="22"/>
        </w:rPr>
        <w:t>506</w:t>
      </w:r>
      <w:r w:rsidRPr="00572B3A">
        <w:rPr>
          <w:rFonts w:ascii="Arial" w:hAnsi="Arial" w:cs="Arial"/>
          <w:sz w:val="22"/>
          <w:szCs w:val="22"/>
        </w:rPr>
        <w:t xml:space="preserve"> (</w:t>
      </w:r>
      <w:r w:rsidR="009D4890">
        <w:rPr>
          <w:rFonts w:ascii="Arial" w:hAnsi="Arial" w:cs="Arial"/>
          <w:sz w:val="22"/>
          <w:szCs w:val="22"/>
        </w:rPr>
        <w:t>New Brunswick</w:t>
      </w:r>
      <w:r w:rsidR="00AF09B5">
        <w:rPr>
          <w:rFonts w:ascii="Arial" w:hAnsi="Arial" w:cs="Arial"/>
          <w:sz w:val="22"/>
          <w:szCs w:val="22"/>
        </w:rPr>
        <w:t>, Canada</w:t>
      </w:r>
      <w:r w:rsidR="003E6491">
        <w:rPr>
          <w:rFonts w:ascii="Arial" w:hAnsi="Arial" w:cs="Arial"/>
          <w:sz w:val="22"/>
          <w:szCs w:val="22"/>
        </w:rPr>
        <w:t>)</w:t>
      </w:r>
    </w:p>
    <w:p w14:paraId="6B4E2F01" w14:textId="77777777" w:rsidR="005778E4" w:rsidRPr="00502535" w:rsidRDefault="00502535" w:rsidP="001461A4">
      <w:pPr>
        <w:rPr>
          <w:rFonts w:ascii="Arial" w:hAnsi="Arial" w:cs="Arial"/>
          <w:b/>
          <w:sz w:val="22"/>
          <w:szCs w:val="22"/>
        </w:rPr>
      </w:pPr>
      <w:r w:rsidRPr="00502535">
        <w:rPr>
          <w:rFonts w:ascii="Arial" w:hAnsi="Arial" w:cs="Arial"/>
          <w:b/>
          <w:sz w:val="22"/>
          <w:szCs w:val="22"/>
        </w:rPr>
        <w:t xml:space="preserve">Related Previous Planning Letter: </w:t>
      </w:r>
      <w:r w:rsidR="00AF09B5">
        <w:rPr>
          <w:rFonts w:ascii="Arial" w:hAnsi="Arial" w:cs="Arial"/>
          <w:sz w:val="22"/>
          <w:szCs w:val="22"/>
        </w:rPr>
        <w:t>N/A</w:t>
      </w:r>
    </w:p>
    <w:p w14:paraId="316E27E2" w14:textId="77777777" w:rsidR="005778E4" w:rsidRDefault="005778E4" w:rsidP="001461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9FCDFF1" w14:textId="77777777" w:rsidR="005778E4" w:rsidRDefault="005778E4" w:rsidP="001461A4">
      <w:pPr>
        <w:rPr>
          <w:rFonts w:ascii="Arial" w:hAnsi="Arial" w:cs="Arial"/>
          <w:sz w:val="22"/>
          <w:szCs w:val="22"/>
        </w:rPr>
      </w:pPr>
    </w:p>
    <w:p w14:paraId="25280E66" w14:textId="77777777" w:rsidR="00B07382" w:rsidRDefault="00B07382" w:rsidP="00B07382">
      <w:pPr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 xml:space="preserve">In </w:t>
      </w:r>
      <w:r w:rsidR="00AF09B5" w:rsidRPr="00AF09B5">
        <w:rPr>
          <w:rFonts w:ascii="Arial" w:hAnsi="Arial" w:cs="Arial"/>
          <w:sz w:val="22"/>
          <w:szCs w:val="22"/>
        </w:rPr>
        <w:t xml:space="preserve">Telecom Decision CRTC </w:t>
      </w:r>
      <w:r w:rsidR="009D4890">
        <w:rPr>
          <w:rFonts w:ascii="Arial" w:hAnsi="Arial" w:cs="Arial"/>
          <w:sz w:val="22"/>
          <w:szCs w:val="22"/>
        </w:rPr>
        <w:t>2018-332</w:t>
      </w:r>
      <w:r w:rsidRPr="00ED101B">
        <w:rPr>
          <w:rFonts w:ascii="Arial" w:hAnsi="Arial" w:cs="Arial"/>
          <w:sz w:val="22"/>
          <w:szCs w:val="22"/>
        </w:rPr>
        <w:t>,</w:t>
      </w:r>
      <w:r w:rsidRPr="00B07382">
        <w:rPr>
          <w:rFonts w:ascii="Arial" w:hAnsi="Arial" w:cs="Arial"/>
          <w:sz w:val="22"/>
          <w:szCs w:val="22"/>
        </w:rPr>
        <w:t xml:space="preserve"> dated </w:t>
      </w:r>
      <w:r w:rsidR="009D4890">
        <w:rPr>
          <w:rFonts w:ascii="Arial" w:hAnsi="Arial" w:cs="Arial"/>
          <w:sz w:val="22"/>
          <w:szCs w:val="22"/>
        </w:rPr>
        <w:t>30 August 2018</w:t>
      </w:r>
      <w:r w:rsidRPr="00B07382">
        <w:rPr>
          <w:rFonts w:ascii="Arial" w:hAnsi="Arial" w:cs="Arial"/>
          <w:sz w:val="22"/>
          <w:szCs w:val="22"/>
        </w:rPr>
        <w:t>, the Canadian Radio-television and Telecommunications Commission (CRTC)</w:t>
      </w:r>
      <w:r>
        <w:rPr>
          <w:rFonts w:ascii="Arial" w:hAnsi="Arial" w:cs="Arial"/>
          <w:sz w:val="22"/>
          <w:szCs w:val="22"/>
        </w:rPr>
        <w:t xml:space="preserve"> directed </w:t>
      </w:r>
      <w:r w:rsidRPr="00B07382">
        <w:rPr>
          <w:rFonts w:ascii="Arial" w:hAnsi="Arial" w:cs="Arial"/>
          <w:sz w:val="22"/>
          <w:szCs w:val="22"/>
        </w:rPr>
        <w:t xml:space="preserve">that relief for </w:t>
      </w:r>
      <w:r w:rsidR="009D4890" w:rsidRPr="009D4890">
        <w:rPr>
          <w:rFonts w:ascii="Arial" w:hAnsi="Arial" w:cs="Arial"/>
          <w:sz w:val="22"/>
          <w:szCs w:val="22"/>
        </w:rPr>
        <w:t>New Brunswick</w:t>
      </w:r>
      <w:r w:rsidR="009D4890">
        <w:rPr>
          <w:rFonts w:ascii="Arial" w:hAnsi="Arial" w:cs="Arial"/>
          <w:sz w:val="22"/>
          <w:szCs w:val="22"/>
        </w:rPr>
        <w:t xml:space="preserve"> </w:t>
      </w:r>
      <w:r w:rsidRPr="00B07382">
        <w:rPr>
          <w:rFonts w:ascii="Arial" w:hAnsi="Arial" w:cs="Arial"/>
          <w:sz w:val="22"/>
          <w:szCs w:val="22"/>
        </w:rPr>
        <w:t xml:space="preserve">area code </w:t>
      </w:r>
      <w:r w:rsidR="009D4890">
        <w:rPr>
          <w:rFonts w:ascii="Arial" w:hAnsi="Arial" w:cs="Arial"/>
          <w:sz w:val="22"/>
          <w:szCs w:val="22"/>
        </w:rPr>
        <w:t>506</w:t>
      </w:r>
      <w:r w:rsidR="003E6491" w:rsidRPr="00B07382">
        <w:rPr>
          <w:rFonts w:ascii="Arial" w:hAnsi="Arial" w:cs="Arial"/>
          <w:sz w:val="22"/>
          <w:szCs w:val="22"/>
        </w:rPr>
        <w:t xml:space="preserve"> </w:t>
      </w:r>
      <w:r w:rsidR="004328A4">
        <w:rPr>
          <w:rFonts w:ascii="Arial" w:hAnsi="Arial" w:cs="Arial"/>
          <w:sz w:val="22"/>
          <w:szCs w:val="22"/>
        </w:rPr>
        <w:t>be provided through a Distributed O</w:t>
      </w:r>
      <w:r w:rsidRPr="00B07382">
        <w:rPr>
          <w:rFonts w:ascii="Arial" w:hAnsi="Arial" w:cs="Arial"/>
          <w:sz w:val="22"/>
          <w:szCs w:val="22"/>
        </w:rPr>
        <w:t xml:space="preserve">verlay </w:t>
      </w:r>
      <w:r w:rsidR="00473149">
        <w:rPr>
          <w:rFonts w:ascii="Arial" w:hAnsi="Arial" w:cs="Arial"/>
          <w:sz w:val="22"/>
          <w:szCs w:val="22"/>
        </w:rPr>
        <w:t>using</w:t>
      </w:r>
      <w:r w:rsidRPr="00B07382">
        <w:rPr>
          <w:rFonts w:ascii="Arial" w:hAnsi="Arial" w:cs="Arial"/>
          <w:sz w:val="22"/>
          <w:szCs w:val="22"/>
        </w:rPr>
        <w:t xml:space="preserve"> new area </w:t>
      </w:r>
      <w:r w:rsidRPr="00ED101B">
        <w:rPr>
          <w:rFonts w:ascii="Arial" w:hAnsi="Arial" w:cs="Arial"/>
          <w:sz w:val="22"/>
          <w:szCs w:val="22"/>
        </w:rPr>
        <w:t xml:space="preserve">code </w:t>
      </w:r>
      <w:r w:rsidR="009D4890">
        <w:rPr>
          <w:rFonts w:ascii="Arial" w:hAnsi="Arial" w:cs="Arial"/>
          <w:sz w:val="22"/>
          <w:szCs w:val="22"/>
        </w:rPr>
        <w:t>428</w:t>
      </w:r>
      <w:r w:rsidR="003E6491" w:rsidRPr="00ED101B">
        <w:rPr>
          <w:rFonts w:ascii="Arial" w:hAnsi="Arial" w:cs="Arial"/>
          <w:sz w:val="22"/>
          <w:szCs w:val="22"/>
        </w:rPr>
        <w:t xml:space="preserve"> </w:t>
      </w:r>
      <w:r w:rsidR="00473149">
        <w:rPr>
          <w:rFonts w:ascii="Arial" w:hAnsi="Arial" w:cs="Arial"/>
          <w:sz w:val="22"/>
          <w:szCs w:val="22"/>
        </w:rPr>
        <w:t>effective</w:t>
      </w:r>
      <w:r w:rsidRPr="00ED101B">
        <w:rPr>
          <w:rFonts w:ascii="Arial" w:hAnsi="Arial" w:cs="Arial"/>
          <w:sz w:val="22"/>
          <w:szCs w:val="22"/>
        </w:rPr>
        <w:t xml:space="preserve"> </w:t>
      </w:r>
      <w:r w:rsidR="004328A4">
        <w:rPr>
          <w:rFonts w:ascii="Arial" w:hAnsi="Arial" w:cs="Arial"/>
          <w:sz w:val="22"/>
          <w:szCs w:val="22"/>
        </w:rPr>
        <w:t>21 November </w:t>
      </w:r>
      <w:r w:rsidR="00E81360" w:rsidRPr="00E81360">
        <w:rPr>
          <w:rFonts w:ascii="Arial" w:hAnsi="Arial" w:cs="Arial"/>
          <w:sz w:val="22"/>
          <w:szCs w:val="22"/>
        </w:rPr>
        <w:t>2020</w:t>
      </w:r>
      <w:r w:rsidRPr="00ED101B">
        <w:rPr>
          <w:rFonts w:ascii="Arial" w:hAnsi="Arial" w:cs="Arial"/>
          <w:sz w:val="22"/>
          <w:szCs w:val="22"/>
        </w:rPr>
        <w:t>.</w:t>
      </w:r>
    </w:p>
    <w:p w14:paraId="0CBD1D79" w14:textId="77777777" w:rsidR="00B07382" w:rsidRDefault="00B07382" w:rsidP="00B07382">
      <w:pPr>
        <w:rPr>
          <w:rFonts w:ascii="Arial" w:hAnsi="Arial" w:cs="Arial"/>
          <w:sz w:val="22"/>
          <w:szCs w:val="22"/>
        </w:rPr>
      </w:pPr>
    </w:p>
    <w:p w14:paraId="4E206A32" w14:textId="77777777" w:rsidR="007F70B9" w:rsidRPr="009D4890" w:rsidRDefault="00B07382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4890">
        <w:rPr>
          <w:rFonts w:ascii="Arial" w:hAnsi="Arial" w:cs="Arial"/>
          <w:sz w:val="22"/>
          <w:szCs w:val="22"/>
        </w:rPr>
        <w:t xml:space="preserve">The new area code </w:t>
      </w:r>
      <w:r w:rsidR="009D4890" w:rsidRPr="009D4890">
        <w:rPr>
          <w:rFonts w:ascii="Arial" w:hAnsi="Arial" w:cs="Arial"/>
          <w:sz w:val="22"/>
          <w:szCs w:val="22"/>
        </w:rPr>
        <w:t>428</w:t>
      </w:r>
      <w:r w:rsidR="008B4FCE" w:rsidRPr="009D4890">
        <w:rPr>
          <w:rFonts w:ascii="Arial" w:hAnsi="Arial" w:cs="Arial"/>
          <w:sz w:val="22"/>
          <w:szCs w:val="22"/>
        </w:rPr>
        <w:t xml:space="preserve"> has been assigned by the North American Numbering Plan Administrator (NANPA) and </w:t>
      </w:r>
      <w:r w:rsidR="004328A4">
        <w:rPr>
          <w:rFonts w:ascii="Arial" w:hAnsi="Arial" w:cs="Arial"/>
          <w:sz w:val="22"/>
          <w:szCs w:val="22"/>
        </w:rPr>
        <w:t>will be implemented on the Relief D</w:t>
      </w:r>
      <w:r w:rsidRPr="009D4890">
        <w:rPr>
          <w:rFonts w:ascii="Arial" w:hAnsi="Arial" w:cs="Arial"/>
          <w:sz w:val="22"/>
          <w:szCs w:val="22"/>
        </w:rPr>
        <w:t xml:space="preserve">ate of </w:t>
      </w:r>
      <w:r w:rsidR="00E94C88">
        <w:rPr>
          <w:rFonts w:ascii="Arial" w:hAnsi="Arial" w:cs="Arial"/>
          <w:sz w:val="22"/>
          <w:szCs w:val="22"/>
        </w:rPr>
        <w:t>21 November</w:t>
      </w:r>
      <w:r w:rsidR="009D4890" w:rsidRPr="009D4890">
        <w:rPr>
          <w:rFonts w:ascii="Arial" w:hAnsi="Arial" w:cs="Arial"/>
          <w:sz w:val="22"/>
          <w:szCs w:val="22"/>
        </w:rPr>
        <w:t xml:space="preserve"> 2020</w:t>
      </w:r>
      <w:r w:rsidR="00AF09B5" w:rsidRPr="009D4890">
        <w:rPr>
          <w:rFonts w:ascii="Arial" w:hAnsi="Arial" w:cs="Arial"/>
          <w:sz w:val="22"/>
          <w:szCs w:val="22"/>
        </w:rPr>
        <w:t xml:space="preserve"> </w:t>
      </w:r>
      <w:r w:rsidR="004328A4">
        <w:rPr>
          <w:rFonts w:ascii="Arial" w:hAnsi="Arial" w:cs="Arial"/>
          <w:sz w:val="22"/>
          <w:szCs w:val="22"/>
        </w:rPr>
        <w:t>as a Distributed O</w:t>
      </w:r>
      <w:r w:rsidRPr="009D4890">
        <w:rPr>
          <w:rFonts w:ascii="Arial" w:hAnsi="Arial" w:cs="Arial"/>
          <w:sz w:val="22"/>
          <w:szCs w:val="22"/>
        </w:rPr>
        <w:t xml:space="preserve">verlay over the geographic area of </w:t>
      </w:r>
      <w:r w:rsidR="008B4FCE" w:rsidRPr="009D4890">
        <w:rPr>
          <w:rFonts w:ascii="Arial" w:hAnsi="Arial" w:cs="Arial"/>
          <w:sz w:val="22"/>
          <w:szCs w:val="22"/>
        </w:rPr>
        <w:t xml:space="preserve">the province of </w:t>
      </w:r>
      <w:r w:rsidR="009D4890" w:rsidRPr="009D4890">
        <w:rPr>
          <w:rFonts w:ascii="Arial" w:hAnsi="Arial" w:cs="Arial"/>
          <w:sz w:val="22"/>
          <w:szCs w:val="22"/>
        </w:rPr>
        <w:t>New Brunswick</w:t>
      </w:r>
      <w:r w:rsidRPr="009D4890">
        <w:rPr>
          <w:rFonts w:ascii="Arial" w:hAnsi="Arial" w:cs="Arial"/>
          <w:sz w:val="22"/>
          <w:szCs w:val="22"/>
        </w:rPr>
        <w:t xml:space="preserve"> currently served by the </w:t>
      </w:r>
      <w:r w:rsidR="009D4890" w:rsidRPr="009D4890">
        <w:rPr>
          <w:rFonts w:ascii="Arial" w:hAnsi="Arial" w:cs="Arial"/>
          <w:sz w:val="22"/>
          <w:szCs w:val="22"/>
        </w:rPr>
        <w:t>506</w:t>
      </w:r>
      <w:r w:rsidR="008B4FCE" w:rsidRPr="009D4890">
        <w:rPr>
          <w:rFonts w:ascii="Arial" w:hAnsi="Arial" w:cs="Arial"/>
          <w:sz w:val="22"/>
          <w:szCs w:val="22"/>
        </w:rPr>
        <w:t xml:space="preserve"> </w:t>
      </w:r>
      <w:r w:rsidRPr="009D4890">
        <w:rPr>
          <w:rFonts w:ascii="Arial" w:hAnsi="Arial" w:cs="Arial"/>
          <w:sz w:val="22"/>
          <w:szCs w:val="22"/>
        </w:rPr>
        <w:t xml:space="preserve">area code. The area code </w:t>
      </w:r>
      <w:r w:rsidR="009D4890" w:rsidRPr="009D4890">
        <w:rPr>
          <w:rFonts w:ascii="Arial" w:hAnsi="Arial" w:cs="Arial"/>
          <w:sz w:val="22"/>
          <w:szCs w:val="22"/>
        </w:rPr>
        <w:t>506</w:t>
      </w:r>
      <w:r w:rsidR="008B4FCE" w:rsidRPr="009D4890">
        <w:rPr>
          <w:rFonts w:ascii="Arial" w:hAnsi="Arial" w:cs="Arial"/>
          <w:sz w:val="22"/>
          <w:szCs w:val="22"/>
        </w:rPr>
        <w:t xml:space="preserve"> </w:t>
      </w:r>
      <w:r w:rsidR="00AF09B5" w:rsidRPr="009D4890">
        <w:rPr>
          <w:rFonts w:ascii="Arial" w:hAnsi="Arial" w:cs="Arial"/>
          <w:sz w:val="22"/>
          <w:szCs w:val="22"/>
        </w:rPr>
        <w:t xml:space="preserve">consists of </w:t>
      </w:r>
      <w:r w:rsidR="009D4890" w:rsidRPr="009D4890">
        <w:rPr>
          <w:rFonts w:ascii="Arial" w:hAnsi="Arial" w:cs="Arial"/>
          <w:sz w:val="22"/>
          <w:szCs w:val="22"/>
        </w:rPr>
        <w:t>88</w:t>
      </w:r>
      <w:r w:rsidR="00AF09B5" w:rsidRPr="009D4890">
        <w:rPr>
          <w:rFonts w:ascii="Arial" w:hAnsi="Arial" w:cs="Arial"/>
          <w:sz w:val="22"/>
          <w:szCs w:val="22"/>
        </w:rPr>
        <w:t xml:space="preserve"> Exchange Areas serving the province of </w:t>
      </w:r>
      <w:r w:rsidR="009D4890" w:rsidRPr="009D4890">
        <w:rPr>
          <w:rFonts w:ascii="Arial" w:hAnsi="Arial" w:cs="Arial"/>
          <w:sz w:val="22"/>
          <w:szCs w:val="22"/>
        </w:rPr>
        <w:t>New Brunswick</w:t>
      </w:r>
      <w:r w:rsidR="00AF09B5" w:rsidRPr="009D4890">
        <w:rPr>
          <w:rFonts w:ascii="Arial" w:hAnsi="Arial" w:cs="Arial"/>
          <w:sz w:val="22"/>
          <w:szCs w:val="22"/>
        </w:rPr>
        <w:t xml:space="preserve"> which includes the major communities of </w:t>
      </w:r>
      <w:r w:rsidR="009D4890" w:rsidRPr="009D4890">
        <w:rPr>
          <w:rFonts w:ascii="Arial" w:hAnsi="Arial" w:cs="Arial"/>
          <w:sz w:val="22"/>
          <w:szCs w:val="22"/>
        </w:rPr>
        <w:t>Bathurst, Campbellton, Edmundston, Fredericton, Miramichi, Moncton, and Saint John</w:t>
      </w:r>
      <w:r w:rsidR="00AF09B5" w:rsidRPr="009D4890">
        <w:rPr>
          <w:rFonts w:ascii="Arial" w:hAnsi="Arial" w:cs="Arial"/>
          <w:sz w:val="22"/>
          <w:szCs w:val="22"/>
        </w:rPr>
        <w:t>.</w:t>
      </w:r>
      <w:r w:rsidR="007F70B9" w:rsidRPr="009D4890">
        <w:rPr>
          <w:rFonts w:ascii="Arial" w:hAnsi="Arial" w:cs="Arial"/>
          <w:sz w:val="22"/>
          <w:szCs w:val="22"/>
        </w:rPr>
        <w:t xml:space="preserve"> A map showing the location of the area served by NPA </w:t>
      </w:r>
      <w:r w:rsidR="009D4890" w:rsidRPr="009D4890">
        <w:rPr>
          <w:rFonts w:ascii="Arial" w:hAnsi="Arial" w:cs="Arial"/>
          <w:sz w:val="22"/>
          <w:szCs w:val="22"/>
        </w:rPr>
        <w:t>506</w:t>
      </w:r>
      <w:r w:rsidR="007F70B9" w:rsidRPr="009D4890">
        <w:rPr>
          <w:rFonts w:ascii="Arial" w:hAnsi="Arial" w:cs="Arial"/>
          <w:sz w:val="22"/>
          <w:szCs w:val="22"/>
        </w:rPr>
        <w:t xml:space="preserve">, and a list of the </w:t>
      </w:r>
      <w:r w:rsidR="009D4890" w:rsidRPr="009D4890">
        <w:rPr>
          <w:rFonts w:ascii="Arial" w:hAnsi="Arial" w:cs="Arial"/>
          <w:sz w:val="22"/>
          <w:szCs w:val="22"/>
        </w:rPr>
        <w:t>88</w:t>
      </w:r>
      <w:r w:rsidR="00CA5C8B" w:rsidRPr="009D4890">
        <w:rPr>
          <w:rFonts w:ascii="Arial" w:hAnsi="Arial" w:cs="Arial"/>
          <w:sz w:val="22"/>
          <w:szCs w:val="22"/>
        </w:rPr>
        <w:t xml:space="preserve"> </w:t>
      </w:r>
      <w:r w:rsidR="007F70B9" w:rsidRPr="009D4890">
        <w:rPr>
          <w:rFonts w:ascii="Arial" w:hAnsi="Arial" w:cs="Arial"/>
          <w:sz w:val="22"/>
          <w:szCs w:val="22"/>
        </w:rPr>
        <w:t>Exchange Areas are attached to this letter.</w:t>
      </w:r>
    </w:p>
    <w:p w14:paraId="4C96E5B1" w14:textId="77777777" w:rsidR="008B4FCE" w:rsidRPr="009D4890" w:rsidRDefault="008B4FCE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val="en-CA" w:eastAsia="en-CA" w:bidi="hi-IN"/>
        </w:rPr>
      </w:pPr>
    </w:p>
    <w:p w14:paraId="53F695DC" w14:textId="77777777" w:rsidR="007F70B9" w:rsidRPr="002E4B93" w:rsidRDefault="007F70B9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Commencing on </w:t>
      </w:r>
      <w:r w:rsidR="009D4890" w:rsidRPr="002E4B93">
        <w:rPr>
          <w:rFonts w:ascii="Arial" w:hAnsi="Arial" w:cs="Arial"/>
          <w:sz w:val="22"/>
          <w:szCs w:val="22"/>
          <w:lang w:val="en-CA" w:eastAsia="en-CA" w:bidi="hi-IN"/>
        </w:rPr>
        <w:t>13 August 2020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, </w:t>
      </w:r>
      <w:r w:rsidR="00FD5199" w:rsidRPr="002E4B93">
        <w:rPr>
          <w:rFonts w:ascii="Arial" w:hAnsi="Arial" w:cs="Arial"/>
          <w:sz w:val="22"/>
          <w:szCs w:val="22"/>
          <w:lang w:val="en-CA" w:eastAsia="en-CA" w:bidi="hi-IN"/>
        </w:rPr>
        <w:t>many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4328A4">
        <w:rPr>
          <w:rFonts w:ascii="Arial" w:hAnsi="Arial" w:cs="Arial"/>
          <w:sz w:val="22"/>
          <w:szCs w:val="22"/>
          <w:lang w:val="en-CA" w:eastAsia="en-CA" w:bidi="hi-IN"/>
        </w:rPr>
        <w:t xml:space="preserve">local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calls dialled with 7 digits will first be connected to a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network announcement notifying 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>callers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that the local number they have dialled must be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preceded by its area code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and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>hat their call will now proceed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>after which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the call will be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completed. Carriers operating in NPA </w:t>
      </w:r>
      <w:r w:rsidR="009D4890" w:rsidRPr="002E4B93">
        <w:rPr>
          <w:rFonts w:ascii="Arial" w:hAnsi="Arial" w:cs="Arial"/>
          <w:sz w:val="22"/>
          <w:szCs w:val="22"/>
          <w:lang w:val="en-CA" w:eastAsia="en-CA" w:bidi="hi-IN"/>
        </w:rPr>
        <w:t>506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that opt to employ a network announcement will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phase in this network announcement </w:t>
      </w:r>
      <w:r w:rsidR="00256BF6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from </w:t>
      </w:r>
      <w:r w:rsidR="009D4890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13 to 20 August 2020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and maintain it</w:t>
      </w:r>
      <w:r w:rsidR="00AB4648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until mandatory 10-digit local dialling is introduced on </w:t>
      </w:r>
      <w:r w:rsidR="009D4890" w:rsidRPr="002E4B93">
        <w:rPr>
          <w:rFonts w:ascii="Arial" w:hAnsi="Arial" w:cs="Arial"/>
          <w:sz w:val="22"/>
          <w:szCs w:val="22"/>
          <w:lang w:val="en-CA" w:eastAsia="en-CA" w:bidi="hi-IN"/>
        </w:rPr>
        <w:t>7 November 2020</w:t>
      </w:r>
      <w:r w:rsidR="00AB4648" w:rsidRPr="002E4B93">
        <w:rPr>
          <w:rFonts w:ascii="Arial" w:hAnsi="Arial" w:cs="Arial"/>
          <w:sz w:val="22"/>
          <w:szCs w:val="22"/>
          <w:lang w:val="en-CA" w:eastAsia="en-CA" w:bidi="hi-IN"/>
        </w:rPr>
        <w:t>.</w:t>
      </w:r>
    </w:p>
    <w:p w14:paraId="35DFFB9A" w14:textId="77777777" w:rsidR="007F70B9" w:rsidRPr="002E4B93" w:rsidRDefault="007F70B9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</w:p>
    <w:p w14:paraId="6CC42540" w14:textId="77777777" w:rsidR="008B4FCE" w:rsidRPr="002E4B93" w:rsidRDefault="007F70B9" w:rsidP="007F70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 w:bidi="hi-IN"/>
        </w:rPr>
      </w:pP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When mandatory local 10-digit dialling begins, </w:t>
      </w:r>
      <w:r w:rsidR="00FD5199" w:rsidRPr="002E4B93">
        <w:rPr>
          <w:rFonts w:ascii="Arial" w:hAnsi="Arial" w:cs="Arial"/>
          <w:sz w:val="22"/>
          <w:szCs w:val="22"/>
          <w:lang w:val="en-CA" w:eastAsia="en-CA" w:bidi="hi-IN"/>
        </w:rPr>
        <w:t>many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calls dialled with 7 digits will be connected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to a network announcement informing the caller that the number they dialled must be preceded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by its area code, their call cannot be completed as dialled, and to hang up and redial using the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area code. Carriers operating in NPA </w:t>
      </w:r>
      <w:r w:rsidR="009D4890" w:rsidRPr="002E4B93">
        <w:rPr>
          <w:rFonts w:ascii="Arial" w:hAnsi="Arial" w:cs="Arial"/>
          <w:sz w:val="22"/>
          <w:szCs w:val="22"/>
          <w:lang w:val="en-CA" w:eastAsia="en-CA" w:bidi="hi-IN"/>
        </w:rPr>
        <w:t>506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that opt to employ a network announcement will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phase in this network announcement </w:t>
      </w:r>
      <w:r w:rsidR="00DC62B8" w:rsidRPr="002E4B93">
        <w:rPr>
          <w:rFonts w:ascii="Arial" w:hAnsi="Arial" w:cs="Arial"/>
          <w:sz w:val="22"/>
          <w:szCs w:val="22"/>
          <w:lang w:val="en-CA" w:eastAsia="en-CA" w:bidi="hi-IN"/>
        </w:rPr>
        <w:t>from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9D4890" w:rsidRPr="002E4B93">
        <w:rPr>
          <w:rFonts w:ascii="Arial" w:hAnsi="Arial" w:cs="Arial"/>
          <w:sz w:val="22"/>
          <w:szCs w:val="22"/>
          <w:lang w:val="en-CA" w:eastAsia="en-CA" w:bidi="hi-IN"/>
        </w:rPr>
        <w:t>7</w:t>
      </w:r>
      <w:r w:rsidR="00AF09B5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DC62B8" w:rsidRPr="002E4B93">
        <w:rPr>
          <w:rFonts w:ascii="Arial" w:hAnsi="Arial" w:cs="Arial"/>
          <w:sz w:val="22"/>
          <w:szCs w:val="22"/>
          <w:lang w:val="en-CA" w:eastAsia="en-CA" w:bidi="hi-IN"/>
        </w:rPr>
        <w:t>to</w:t>
      </w:r>
      <w:r w:rsidR="00AF09B5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="009D4890" w:rsidRPr="002E4B93">
        <w:rPr>
          <w:rFonts w:ascii="Arial" w:hAnsi="Arial" w:cs="Arial"/>
          <w:sz w:val="22"/>
          <w:szCs w:val="22"/>
          <w:lang w:val="en-CA" w:eastAsia="en-CA" w:bidi="hi-IN"/>
        </w:rPr>
        <w:t>14</w:t>
      </w:r>
      <w:r w:rsidR="00AF09B5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November </w:t>
      </w:r>
      <w:r w:rsidR="002E4B93" w:rsidRPr="002E4B93">
        <w:rPr>
          <w:rFonts w:ascii="Arial" w:hAnsi="Arial" w:cs="Arial"/>
          <w:sz w:val="22"/>
          <w:szCs w:val="22"/>
          <w:lang w:val="en-CA" w:eastAsia="en-CA" w:bidi="hi-IN"/>
        </w:rPr>
        <w:t>2020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, and replace it by</w:t>
      </w:r>
      <w:r w:rsidR="00473149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a standard network announcement starting between </w:t>
      </w:r>
      <w:r w:rsidR="002E4B93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24 February </w:t>
      </w:r>
      <w:r w:rsidR="008C7F3E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and </w:t>
      </w:r>
      <w:r w:rsidR="00AF09B5" w:rsidRPr="002E4B93">
        <w:rPr>
          <w:rFonts w:ascii="Arial" w:hAnsi="Arial" w:cs="Arial"/>
          <w:sz w:val="22"/>
          <w:szCs w:val="22"/>
          <w:lang w:val="en-CA" w:eastAsia="en-CA" w:bidi="hi-IN"/>
        </w:rPr>
        <w:t>2</w:t>
      </w:r>
      <w:r w:rsidR="002E4B93" w:rsidRPr="002E4B93">
        <w:rPr>
          <w:rFonts w:ascii="Arial" w:hAnsi="Arial" w:cs="Arial"/>
          <w:sz w:val="22"/>
          <w:szCs w:val="22"/>
          <w:lang w:val="en-CA" w:eastAsia="en-CA" w:bidi="hi-IN"/>
        </w:rPr>
        <w:t>6</w:t>
      </w:r>
      <w:r w:rsidR="00AF09B5" w:rsidRPr="002E4B93">
        <w:rPr>
          <w:rFonts w:ascii="Arial" w:hAnsi="Arial" w:cs="Arial"/>
          <w:sz w:val="22"/>
          <w:szCs w:val="22"/>
          <w:lang w:val="en-CA" w:eastAsia="en-CA" w:bidi="hi-IN"/>
        </w:rPr>
        <w:t xml:space="preserve"> March </w:t>
      </w:r>
      <w:r w:rsidR="002E4B93" w:rsidRPr="002E4B93">
        <w:rPr>
          <w:rFonts w:ascii="Arial" w:hAnsi="Arial" w:cs="Arial"/>
          <w:sz w:val="22"/>
          <w:szCs w:val="22"/>
          <w:lang w:val="en-CA" w:eastAsia="en-CA" w:bidi="hi-IN"/>
        </w:rPr>
        <w:t>2021</w:t>
      </w:r>
      <w:r w:rsidRPr="002E4B93">
        <w:rPr>
          <w:rFonts w:ascii="Arial" w:hAnsi="Arial" w:cs="Arial"/>
          <w:sz w:val="22"/>
          <w:szCs w:val="22"/>
          <w:lang w:val="en-CA" w:eastAsia="en-CA" w:bidi="hi-IN"/>
        </w:rPr>
        <w:t>.</w:t>
      </w:r>
    </w:p>
    <w:p w14:paraId="3BD5EE14" w14:textId="77777777" w:rsidR="001C4E3F" w:rsidRPr="002E4B93" w:rsidRDefault="001C4E3F" w:rsidP="001C4E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191B496A" w14:textId="77777777" w:rsidR="001C4E3F" w:rsidRPr="002E4B93" w:rsidRDefault="001C4E3F" w:rsidP="001C4E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  <w:r w:rsidRPr="002E4B93">
        <w:rPr>
          <w:rFonts w:ascii="Arial" w:hAnsi="Arial" w:cs="Arial"/>
          <w:sz w:val="22"/>
          <w:szCs w:val="22"/>
          <w:lang w:val="en-CA" w:eastAsia="en-CA"/>
        </w:rPr>
        <w:t xml:space="preserve">The dialling plan for the </w:t>
      </w:r>
      <w:r w:rsidR="009967F7" w:rsidRPr="002E4B93">
        <w:rPr>
          <w:rFonts w:ascii="Arial" w:hAnsi="Arial" w:cs="Arial"/>
          <w:sz w:val="22"/>
          <w:szCs w:val="22"/>
          <w:lang w:val="en-CA" w:eastAsia="en-CA"/>
        </w:rPr>
        <w:t xml:space="preserve">area served by NPA codes </w:t>
      </w:r>
      <w:r w:rsidR="002E4B93" w:rsidRPr="002E4B93">
        <w:rPr>
          <w:rFonts w:ascii="Arial" w:hAnsi="Arial" w:cs="Arial"/>
          <w:sz w:val="22"/>
          <w:szCs w:val="22"/>
          <w:lang w:val="en-CA" w:eastAsia="en-CA"/>
        </w:rPr>
        <w:t>428</w:t>
      </w:r>
      <w:r w:rsidR="00C74506" w:rsidRPr="002E4B93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/>
        </w:rPr>
        <w:t xml:space="preserve">and </w:t>
      </w:r>
      <w:r w:rsidR="002E4B93" w:rsidRPr="002E4B93">
        <w:rPr>
          <w:rFonts w:ascii="Arial" w:hAnsi="Arial" w:cs="Arial"/>
          <w:sz w:val="22"/>
          <w:szCs w:val="22"/>
          <w:lang w:val="en-CA" w:eastAsia="en-CA"/>
        </w:rPr>
        <w:t>506</w:t>
      </w:r>
      <w:r w:rsidR="00C74506" w:rsidRPr="002E4B93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2E4B93">
        <w:rPr>
          <w:rFonts w:ascii="Arial" w:hAnsi="Arial" w:cs="Arial"/>
          <w:sz w:val="22"/>
          <w:szCs w:val="22"/>
          <w:lang w:val="en-CA" w:eastAsia="en-CA"/>
        </w:rPr>
        <w:t>will be as follows:</w:t>
      </w:r>
    </w:p>
    <w:p w14:paraId="46DC1A4F" w14:textId="77777777" w:rsidR="00473149" w:rsidRPr="002E4B93" w:rsidRDefault="00473149" w:rsidP="001C4E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</w:p>
    <w:p w14:paraId="04EA2863" w14:textId="77777777" w:rsidR="001C4E3F" w:rsidRPr="002E4B93" w:rsidRDefault="009967F7" w:rsidP="009967F7">
      <w:p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val="en-CA" w:eastAsia="en-CA"/>
        </w:rPr>
      </w:pPr>
      <w:r w:rsidRPr="002E4B93">
        <w:rPr>
          <w:rFonts w:ascii="Arial" w:hAnsi="Arial" w:cs="Arial"/>
          <w:sz w:val="22"/>
          <w:szCs w:val="22"/>
          <w:lang w:val="en-CA" w:eastAsia="en-CA"/>
        </w:rPr>
        <w:tab/>
        <w:t>-</w:t>
      </w:r>
      <w:r w:rsidRPr="002E4B93">
        <w:rPr>
          <w:rFonts w:ascii="Arial" w:hAnsi="Arial" w:cs="Arial"/>
          <w:sz w:val="22"/>
          <w:szCs w:val="22"/>
          <w:lang w:val="en-CA" w:eastAsia="en-CA"/>
        </w:rPr>
        <w:tab/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 xml:space="preserve">All local calls, including Extended Area Service calls, originating within the </w:t>
      </w:r>
      <w:r w:rsidR="002E4B93" w:rsidRPr="002E4B93">
        <w:rPr>
          <w:rFonts w:ascii="Arial" w:hAnsi="Arial" w:cs="Arial"/>
          <w:sz w:val="22"/>
          <w:szCs w:val="22"/>
          <w:lang w:val="en-CA" w:eastAsia="en-CA"/>
        </w:rPr>
        <w:t>428/506</w:t>
      </w:r>
      <w:r w:rsidRPr="002E4B93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 xml:space="preserve">overlay area </w:t>
      </w:r>
      <w:r w:rsidR="00215CC7" w:rsidRPr="002E4B93">
        <w:rPr>
          <w:rFonts w:ascii="Arial" w:hAnsi="Arial" w:cs="Arial"/>
          <w:sz w:val="22"/>
          <w:szCs w:val="22"/>
          <w:lang w:val="en-CA" w:eastAsia="en-CA"/>
        </w:rPr>
        <w:t xml:space="preserve">and neighbouring NPAs </w:t>
      </w:r>
      <w:r w:rsidR="00E94C88">
        <w:rPr>
          <w:rFonts w:ascii="Arial" w:hAnsi="Arial" w:cs="Arial"/>
          <w:sz w:val="22"/>
          <w:szCs w:val="22"/>
          <w:lang w:val="en-CA" w:eastAsia="en-CA"/>
        </w:rPr>
        <w:t>must be dialled with 10</w:t>
      </w:r>
      <w:r w:rsidR="004328A4">
        <w:rPr>
          <w:rFonts w:ascii="Arial" w:hAnsi="Arial" w:cs="Arial"/>
          <w:sz w:val="22"/>
          <w:szCs w:val="22"/>
          <w:lang w:val="en-CA" w:eastAsia="en-CA"/>
        </w:rPr>
        <w:t xml:space="preserve"> dig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>its; i.e., NPA-NXX-XXXX.</w:t>
      </w:r>
    </w:p>
    <w:p w14:paraId="261C0FB8" w14:textId="77777777" w:rsidR="009967F7" w:rsidRPr="002E4B93" w:rsidRDefault="009967F7" w:rsidP="009967F7">
      <w:p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  <w:lang w:val="en-CA" w:eastAsia="en-CA"/>
        </w:rPr>
      </w:pPr>
      <w:r w:rsidRPr="002E4B93">
        <w:rPr>
          <w:rFonts w:ascii="Arial" w:hAnsi="Arial" w:cs="Arial"/>
          <w:sz w:val="22"/>
          <w:szCs w:val="22"/>
          <w:lang w:val="en-CA" w:eastAsia="en-CA"/>
        </w:rPr>
        <w:tab/>
        <w:t>-</w:t>
      </w:r>
      <w:r w:rsidRPr="002E4B93">
        <w:rPr>
          <w:rFonts w:ascii="Arial" w:hAnsi="Arial" w:cs="Arial"/>
          <w:sz w:val="22"/>
          <w:szCs w:val="22"/>
          <w:lang w:val="en-CA" w:eastAsia="en-CA"/>
        </w:rPr>
        <w:tab/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>Toll and alternat</w:t>
      </w:r>
      <w:r w:rsidRPr="002E4B93">
        <w:rPr>
          <w:rFonts w:ascii="Arial" w:hAnsi="Arial" w:cs="Arial"/>
          <w:sz w:val="22"/>
          <w:szCs w:val="22"/>
          <w:lang w:val="en-CA" w:eastAsia="en-CA"/>
        </w:rPr>
        <w:t>iv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 xml:space="preserve">ely billed calls originating within the </w:t>
      </w:r>
      <w:r w:rsidR="002E4B93" w:rsidRPr="002E4B93">
        <w:rPr>
          <w:rFonts w:ascii="Arial" w:hAnsi="Arial" w:cs="Arial"/>
          <w:sz w:val="22"/>
          <w:szCs w:val="22"/>
          <w:lang w:val="en-CA" w:eastAsia="en-CA"/>
        </w:rPr>
        <w:t xml:space="preserve">428/506 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>overlay area will</w:t>
      </w:r>
      <w:r w:rsidRPr="002E4B93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4328A4">
        <w:rPr>
          <w:rFonts w:ascii="Arial" w:hAnsi="Arial" w:cs="Arial"/>
          <w:sz w:val="22"/>
          <w:szCs w:val="22"/>
          <w:lang w:val="en-CA" w:eastAsia="en-CA"/>
        </w:rPr>
        <w:t xml:space="preserve">continue to be dialled with 10 </w:t>
      </w:r>
      <w:r w:rsidR="001C4E3F" w:rsidRPr="002E4B93">
        <w:rPr>
          <w:rFonts w:ascii="Arial" w:hAnsi="Arial" w:cs="Arial"/>
          <w:sz w:val="22"/>
          <w:szCs w:val="22"/>
          <w:lang w:val="en-CA" w:eastAsia="en-CA"/>
        </w:rPr>
        <w:t>digits after the appropriate prefix digit(s).</w:t>
      </w:r>
    </w:p>
    <w:p w14:paraId="1D93D0B3" w14:textId="77777777" w:rsidR="00B07382" w:rsidRPr="009D4890" w:rsidRDefault="00B07382" w:rsidP="009967F7">
      <w:p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  <w:highlight w:val="yellow"/>
        </w:rPr>
      </w:pPr>
    </w:p>
    <w:p w14:paraId="4ABA281C" w14:textId="77777777" w:rsidR="00B07382" w:rsidRPr="002E4B93" w:rsidRDefault="00B07382" w:rsidP="00B07382">
      <w:pPr>
        <w:rPr>
          <w:rFonts w:ascii="Arial" w:hAnsi="Arial" w:cs="Arial"/>
          <w:sz w:val="22"/>
          <w:szCs w:val="22"/>
        </w:rPr>
      </w:pPr>
      <w:r w:rsidRPr="002E4B93">
        <w:rPr>
          <w:rFonts w:ascii="Arial" w:hAnsi="Arial" w:cs="Arial"/>
          <w:sz w:val="22"/>
          <w:szCs w:val="22"/>
        </w:rPr>
        <w:t>All international and domestic Telecommunications Service Providers (TSPs) should</w:t>
      </w:r>
      <w:r w:rsidR="00473149" w:rsidRPr="002E4B93">
        <w:rPr>
          <w:rFonts w:ascii="Arial" w:hAnsi="Arial" w:cs="Arial"/>
          <w:sz w:val="22"/>
          <w:szCs w:val="22"/>
        </w:rPr>
        <w:t xml:space="preserve"> </w:t>
      </w:r>
      <w:r w:rsidRPr="002E4B93">
        <w:rPr>
          <w:rFonts w:ascii="Arial" w:hAnsi="Arial" w:cs="Arial"/>
          <w:sz w:val="22"/>
          <w:szCs w:val="22"/>
        </w:rPr>
        <w:t xml:space="preserve">ensure that the new </w:t>
      </w:r>
      <w:r w:rsidR="002E4B93" w:rsidRPr="002E4B93">
        <w:rPr>
          <w:rFonts w:ascii="Arial" w:hAnsi="Arial" w:cs="Arial"/>
          <w:sz w:val="22"/>
          <w:szCs w:val="22"/>
        </w:rPr>
        <w:t>428</w:t>
      </w:r>
      <w:r w:rsidRPr="002E4B93">
        <w:rPr>
          <w:rFonts w:ascii="Arial" w:hAnsi="Arial" w:cs="Arial"/>
          <w:sz w:val="22"/>
          <w:szCs w:val="22"/>
        </w:rPr>
        <w:t xml:space="preserve"> NPA is activated throughout their networks by </w:t>
      </w:r>
      <w:r w:rsidR="002E4B93" w:rsidRPr="002E4B93">
        <w:rPr>
          <w:rFonts w:ascii="Arial" w:hAnsi="Arial" w:cs="Arial"/>
          <w:sz w:val="22"/>
          <w:szCs w:val="22"/>
        </w:rPr>
        <w:t>2</w:t>
      </w:r>
      <w:r w:rsidR="00E81360">
        <w:rPr>
          <w:rFonts w:ascii="Arial" w:hAnsi="Arial" w:cs="Arial"/>
          <w:sz w:val="22"/>
          <w:szCs w:val="22"/>
        </w:rPr>
        <w:t>2</w:t>
      </w:r>
      <w:r w:rsidR="002E4B93" w:rsidRPr="002E4B93">
        <w:rPr>
          <w:rFonts w:ascii="Arial" w:hAnsi="Arial" w:cs="Arial"/>
          <w:sz w:val="22"/>
          <w:szCs w:val="22"/>
        </w:rPr>
        <w:t xml:space="preserve"> May 2020</w:t>
      </w:r>
      <w:r w:rsidR="00C74506" w:rsidRPr="002E4B93">
        <w:rPr>
          <w:rFonts w:ascii="Arial" w:hAnsi="Arial" w:cs="Arial"/>
          <w:sz w:val="22"/>
          <w:szCs w:val="22"/>
        </w:rPr>
        <w:t xml:space="preserve"> which is the start date for network testing.</w:t>
      </w:r>
    </w:p>
    <w:p w14:paraId="62A1A624" w14:textId="77777777" w:rsidR="00B07382" w:rsidRPr="009D4890" w:rsidRDefault="00B07382" w:rsidP="00B07382">
      <w:pPr>
        <w:rPr>
          <w:rFonts w:ascii="Arial" w:hAnsi="Arial" w:cs="Arial"/>
          <w:sz w:val="22"/>
          <w:szCs w:val="22"/>
          <w:highlight w:val="yellow"/>
        </w:rPr>
      </w:pPr>
    </w:p>
    <w:p w14:paraId="6E6FA976" w14:textId="77777777" w:rsidR="00B07382" w:rsidRPr="00D718A4" w:rsidRDefault="00B07382" w:rsidP="006D5819">
      <w:pPr>
        <w:keepLines/>
        <w:widowControl w:val="0"/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 xml:space="preserve">The following test numbers for the new NPA </w:t>
      </w:r>
      <w:r w:rsidR="002E4B93" w:rsidRPr="00D718A4">
        <w:rPr>
          <w:rFonts w:ascii="Arial" w:hAnsi="Arial" w:cs="Arial"/>
          <w:sz w:val="22"/>
          <w:szCs w:val="22"/>
        </w:rPr>
        <w:t>428</w:t>
      </w:r>
      <w:r w:rsidR="00C74506" w:rsidRPr="00D718A4">
        <w:rPr>
          <w:rFonts w:ascii="Arial" w:hAnsi="Arial" w:cs="Arial"/>
          <w:sz w:val="22"/>
          <w:szCs w:val="22"/>
        </w:rPr>
        <w:t xml:space="preserve"> </w:t>
      </w:r>
      <w:r w:rsidRPr="00D718A4">
        <w:rPr>
          <w:rFonts w:ascii="Arial" w:hAnsi="Arial" w:cs="Arial"/>
          <w:sz w:val="22"/>
          <w:szCs w:val="22"/>
        </w:rPr>
        <w:t xml:space="preserve">will be made available effective </w:t>
      </w:r>
      <w:r w:rsidR="00D718A4" w:rsidRPr="00D718A4">
        <w:rPr>
          <w:rFonts w:ascii="Arial" w:hAnsi="Arial" w:cs="Arial"/>
          <w:sz w:val="22"/>
          <w:szCs w:val="22"/>
        </w:rPr>
        <w:t>2</w:t>
      </w:r>
      <w:r w:rsidR="00E81360">
        <w:rPr>
          <w:rFonts w:ascii="Arial" w:hAnsi="Arial" w:cs="Arial"/>
          <w:sz w:val="22"/>
          <w:szCs w:val="22"/>
        </w:rPr>
        <w:t>2</w:t>
      </w:r>
      <w:r w:rsidR="00D718A4" w:rsidRPr="00D718A4">
        <w:rPr>
          <w:rFonts w:ascii="Arial" w:hAnsi="Arial" w:cs="Arial"/>
          <w:sz w:val="22"/>
          <w:szCs w:val="22"/>
        </w:rPr>
        <w:t xml:space="preserve"> May 2020</w:t>
      </w:r>
      <w:r w:rsidRPr="00D718A4">
        <w:rPr>
          <w:rFonts w:ascii="Arial" w:hAnsi="Arial" w:cs="Arial"/>
          <w:sz w:val="22"/>
          <w:szCs w:val="22"/>
        </w:rPr>
        <w:t xml:space="preserve">. Routing of calls to </w:t>
      </w:r>
      <w:r w:rsidR="00924E7C" w:rsidRPr="00D718A4">
        <w:rPr>
          <w:rFonts w:ascii="Arial" w:hAnsi="Arial" w:cs="Arial"/>
          <w:sz w:val="22"/>
          <w:szCs w:val="22"/>
        </w:rPr>
        <w:t xml:space="preserve">area code </w:t>
      </w:r>
      <w:r w:rsidR="00D718A4" w:rsidRPr="00D718A4">
        <w:rPr>
          <w:rFonts w:ascii="Arial" w:hAnsi="Arial" w:cs="Arial"/>
          <w:sz w:val="22"/>
          <w:szCs w:val="22"/>
        </w:rPr>
        <w:t>428</w:t>
      </w:r>
      <w:r w:rsidRPr="00D718A4">
        <w:rPr>
          <w:rFonts w:ascii="Arial" w:hAnsi="Arial" w:cs="Arial"/>
          <w:sz w:val="22"/>
          <w:szCs w:val="22"/>
        </w:rPr>
        <w:t xml:space="preserve"> can be verified by dia</w:t>
      </w:r>
      <w:r w:rsidR="004328A4">
        <w:rPr>
          <w:rFonts w:ascii="Arial" w:hAnsi="Arial" w:cs="Arial"/>
          <w:sz w:val="22"/>
          <w:szCs w:val="22"/>
        </w:rPr>
        <w:t>l</w:t>
      </w:r>
      <w:r w:rsidRPr="00D718A4">
        <w:rPr>
          <w:rFonts w:ascii="Arial" w:hAnsi="Arial" w:cs="Arial"/>
          <w:sz w:val="22"/>
          <w:szCs w:val="22"/>
        </w:rPr>
        <w:t xml:space="preserve">ling the 8378 (TEST) numbers which do not provide answer supervision. Billing of calls to </w:t>
      </w:r>
      <w:r w:rsidR="00924E7C" w:rsidRPr="00D718A4">
        <w:rPr>
          <w:rFonts w:ascii="Arial" w:hAnsi="Arial" w:cs="Arial"/>
          <w:sz w:val="22"/>
          <w:szCs w:val="22"/>
        </w:rPr>
        <w:t xml:space="preserve">area code </w:t>
      </w:r>
      <w:r w:rsidR="00E94C88">
        <w:rPr>
          <w:rFonts w:ascii="Arial" w:hAnsi="Arial" w:cs="Arial"/>
          <w:sz w:val="22"/>
          <w:szCs w:val="22"/>
        </w:rPr>
        <w:t>428</w:t>
      </w:r>
      <w:r w:rsidRPr="00D718A4">
        <w:rPr>
          <w:rFonts w:ascii="Arial" w:hAnsi="Arial" w:cs="Arial"/>
          <w:sz w:val="22"/>
          <w:szCs w:val="22"/>
        </w:rPr>
        <w:t xml:space="preserve"> can be verified by </w:t>
      </w:r>
      <w:r w:rsidR="00E16E91" w:rsidRPr="00D718A4">
        <w:rPr>
          <w:rFonts w:ascii="Arial" w:hAnsi="Arial" w:cs="Arial"/>
          <w:sz w:val="22"/>
          <w:szCs w:val="22"/>
        </w:rPr>
        <w:t>d</w:t>
      </w:r>
      <w:r w:rsidR="00502535" w:rsidRPr="00D718A4">
        <w:rPr>
          <w:rFonts w:ascii="Arial" w:hAnsi="Arial" w:cs="Arial"/>
          <w:sz w:val="22"/>
          <w:szCs w:val="22"/>
        </w:rPr>
        <w:t>ia</w:t>
      </w:r>
      <w:r w:rsidR="004328A4">
        <w:rPr>
          <w:rFonts w:ascii="Arial" w:hAnsi="Arial" w:cs="Arial"/>
          <w:sz w:val="22"/>
          <w:szCs w:val="22"/>
        </w:rPr>
        <w:t>l</w:t>
      </w:r>
      <w:r w:rsidR="00502535" w:rsidRPr="00D718A4">
        <w:rPr>
          <w:rFonts w:ascii="Arial" w:hAnsi="Arial" w:cs="Arial"/>
          <w:sz w:val="22"/>
          <w:szCs w:val="22"/>
        </w:rPr>
        <w:t>ling</w:t>
      </w:r>
      <w:r w:rsidRPr="00D718A4">
        <w:rPr>
          <w:rFonts w:ascii="Arial" w:hAnsi="Arial" w:cs="Arial"/>
          <w:sz w:val="22"/>
          <w:szCs w:val="22"/>
        </w:rPr>
        <w:t xml:space="preserve"> the 2455 (BILL) numbers which provide answer supervision.</w:t>
      </w:r>
    </w:p>
    <w:p w14:paraId="4CC513C5" w14:textId="77777777" w:rsidR="00C74506" w:rsidRPr="009D4890" w:rsidRDefault="00C74506" w:rsidP="00B07382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430"/>
        <w:gridCol w:w="3960"/>
      </w:tblGrid>
      <w:tr w:rsidR="00C74506" w:rsidRPr="009D4890" w14:paraId="45D08D69" w14:textId="77777777" w:rsidTr="00A277A5">
        <w:trPr>
          <w:tblHeader/>
        </w:trPr>
        <w:tc>
          <w:tcPr>
            <w:tcW w:w="2700" w:type="dxa"/>
          </w:tcPr>
          <w:p w14:paraId="3F9448CE" w14:textId="77777777" w:rsidR="00C74506" w:rsidRPr="00D718A4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A4">
              <w:rPr>
                <w:rFonts w:ascii="Arial" w:hAnsi="Arial" w:cs="Arial"/>
                <w:b/>
                <w:sz w:val="22"/>
                <w:szCs w:val="22"/>
              </w:rPr>
              <w:lastRenderedPageBreak/>
              <w:t>Test Number</w:t>
            </w:r>
          </w:p>
        </w:tc>
        <w:tc>
          <w:tcPr>
            <w:tcW w:w="2430" w:type="dxa"/>
          </w:tcPr>
          <w:p w14:paraId="36B9D151" w14:textId="77777777" w:rsidR="00C74506" w:rsidRPr="00D718A4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A4">
              <w:rPr>
                <w:rFonts w:ascii="Arial" w:hAnsi="Arial" w:cs="Arial"/>
                <w:b/>
                <w:sz w:val="22"/>
                <w:szCs w:val="22"/>
              </w:rPr>
              <w:t>Exchange Area</w:t>
            </w:r>
          </w:p>
          <w:p w14:paraId="119FD909" w14:textId="77777777" w:rsidR="00C74506" w:rsidRPr="00D718A4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A4">
              <w:rPr>
                <w:rFonts w:ascii="Arial" w:hAnsi="Arial" w:cs="Arial"/>
                <w:b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D718A4">
                  <w:rPr>
                    <w:rFonts w:ascii="Arial" w:hAnsi="Arial" w:cs="Arial"/>
                    <w:b/>
                    <w:sz w:val="22"/>
                    <w:szCs w:val="22"/>
                  </w:rPr>
                  <w:t>Rate</w:t>
                </w:r>
              </w:smartTag>
              <w:r w:rsidRPr="00D718A4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718A4">
                  <w:rPr>
                    <w:rFonts w:ascii="Arial" w:hAnsi="Arial" w:cs="Arial"/>
                    <w:b/>
                    <w:sz w:val="22"/>
                    <w:szCs w:val="22"/>
                  </w:rPr>
                  <w:t>Center</w:t>
                </w:r>
              </w:smartTag>
            </w:smartTag>
            <w:r w:rsidRPr="00D718A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14:paraId="3C55E21F" w14:textId="77777777" w:rsidR="00C74506" w:rsidRPr="00D718A4" w:rsidRDefault="00C74506" w:rsidP="00A277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8A4">
              <w:rPr>
                <w:rFonts w:ascii="Arial" w:hAnsi="Arial" w:cs="Arial"/>
                <w:b/>
                <w:sz w:val="22"/>
                <w:szCs w:val="22"/>
              </w:rPr>
              <w:t>Carrier</w:t>
            </w:r>
          </w:p>
        </w:tc>
      </w:tr>
      <w:tr w:rsidR="00D718A4" w:rsidRPr="009D4890" w14:paraId="237A653C" w14:textId="77777777" w:rsidTr="00A277A5">
        <w:tc>
          <w:tcPr>
            <w:tcW w:w="2700" w:type="dxa"/>
          </w:tcPr>
          <w:p w14:paraId="6CCDE04A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428-580-8378</w:t>
            </w: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14:paraId="31226D58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Moncton</w:t>
            </w:r>
          </w:p>
        </w:tc>
        <w:tc>
          <w:tcPr>
            <w:tcW w:w="3960" w:type="dxa"/>
          </w:tcPr>
          <w:p w14:paraId="10C9A98E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TELUS Mobility</w:t>
            </w:r>
          </w:p>
        </w:tc>
      </w:tr>
      <w:tr w:rsidR="00D718A4" w:rsidRPr="009D4890" w14:paraId="273D3839" w14:textId="77777777" w:rsidTr="00A277A5">
        <w:tc>
          <w:tcPr>
            <w:tcW w:w="2700" w:type="dxa"/>
          </w:tcPr>
          <w:p w14:paraId="298A6E90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428-610-8378</w:t>
            </w: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14:paraId="3EC053E4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Saint John</w:t>
            </w:r>
          </w:p>
        </w:tc>
        <w:tc>
          <w:tcPr>
            <w:tcW w:w="3960" w:type="dxa"/>
          </w:tcPr>
          <w:p w14:paraId="735F39E7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Bell Canada</w:t>
            </w:r>
          </w:p>
        </w:tc>
      </w:tr>
      <w:tr w:rsidR="00D718A4" w:rsidRPr="009D4890" w14:paraId="65AE5E47" w14:textId="77777777" w:rsidTr="00A277A5">
        <w:tc>
          <w:tcPr>
            <w:tcW w:w="2700" w:type="dxa"/>
          </w:tcPr>
          <w:p w14:paraId="72A2AC5C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428-810-8378</w:t>
            </w: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14:paraId="65BB3477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Moncton</w:t>
            </w:r>
          </w:p>
        </w:tc>
        <w:tc>
          <w:tcPr>
            <w:tcW w:w="3960" w:type="dxa"/>
          </w:tcPr>
          <w:p w14:paraId="59D89A90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718A4">
              <w:rPr>
                <w:rFonts w:ascii="Arial" w:hAnsi="Arial" w:cs="Arial"/>
                <w:sz w:val="22"/>
                <w:szCs w:val="22"/>
                <w:lang w:val="fr-CA"/>
              </w:rPr>
              <w:t>TELUS Integrated Communications</w:t>
            </w:r>
          </w:p>
        </w:tc>
      </w:tr>
      <w:tr w:rsidR="00D718A4" w:rsidRPr="009D4890" w14:paraId="670B7750" w14:textId="77777777" w:rsidTr="008D3034">
        <w:tc>
          <w:tcPr>
            <w:tcW w:w="2700" w:type="dxa"/>
          </w:tcPr>
          <w:p w14:paraId="6D63AD12" w14:textId="77777777" w:rsidR="00D718A4" w:rsidRPr="004328A4" w:rsidRDefault="00D718A4" w:rsidP="00D718A4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4328A4">
              <w:rPr>
                <w:rFonts w:ascii="Arial" w:hAnsi="Arial" w:cs="Arial"/>
                <w:sz w:val="22"/>
                <w:szCs w:val="22"/>
              </w:rPr>
              <w:t>428-999-8378</w:t>
            </w:r>
            <w:r w:rsidRPr="004328A4">
              <w:rPr>
                <w:rFonts w:ascii="Arial" w:hAnsi="Arial" w:cs="Arial"/>
                <w:sz w:val="22"/>
                <w:szCs w:val="22"/>
                <w:lang w:val="fr-CA"/>
              </w:rPr>
              <w:t xml:space="preserve"> and -2455</w:t>
            </w:r>
          </w:p>
        </w:tc>
        <w:tc>
          <w:tcPr>
            <w:tcW w:w="2430" w:type="dxa"/>
          </w:tcPr>
          <w:p w14:paraId="23F37F3B" w14:textId="77777777" w:rsidR="00D718A4" w:rsidRPr="004328A4" w:rsidRDefault="00D718A4" w:rsidP="00D718A4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4328A4">
              <w:rPr>
                <w:rFonts w:ascii="Arial" w:hAnsi="Arial" w:cs="Arial"/>
                <w:sz w:val="22"/>
                <w:szCs w:val="22"/>
                <w:lang w:val="fr-CA"/>
              </w:rPr>
              <w:t>Fredericton</w:t>
            </w:r>
          </w:p>
        </w:tc>
        <w:tc>
          <w:tcPr>
            <w:tcW w:w="3960" w:type="dxa"/>
          </w:tcPr>
          <w:p w14:paraId="4F64BF4B" w14:textId="77777777" w:rsidR="00D718A4" w:rsidRPr="00D718A4" w:rsidRDefault="00D718A4" w:rsidP="00D718A4">
            <w:pPr>
              <w:rPr>
                <w:rFonts w:ascii="Arial" w:hAnsi="Arial" w:cs="Arial"/>
                <w:sz w:val="22"/>
                <w:szCs w:val="22"/>
              </w:rPr>
            </w:pPr>
            <w:r w:rsidRPr="00D718A4">
              <w:rPr>
                <w:rFonts w:ascii="Arial" w:hAnsi="Arial" w:cs="Arial"/>
                <w:sz w:val="22"/>
                <w:szCs w:val="22"/>
              </w:rPr>
              <w:t>TELUS Mobility</w:t>
            </w:r>
          </w:p>
        </w:tc>
      </w:tr>
    </w:tbl>
    <w:p w14:paraId="3DED1473" w14:textId="77777777" w:rsidR="00C74506" w:rsidRPr="009D4890" w:rsidRDefault="00C74506" w:rsidP="00C74506">
      <w:pPr>
        <w:rPr>
          <w:rFonts w:ascii="Arial" w:hAnsi="Arial" w:cs="Arial"/>
          <w:sz w:val="22"/>
          <w:szCs w:val="22"/>
          <w:highlight w:val="yellow"/>
        </w:rPr>
      </w:pPr>
    </w:p>
    <w:p w14:paraId="4B365831" w14:textId="77777777" w:rsidR="00C74506" w:rsidRPr="00D718A4" w:rsidRDefault="00C74506" w:rsidP="00C74506">
      <w:pPr>
        <w:spacing w:after="120"/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>Calls successfully completed to test numbers will receive the following announcement:</w:t>
      </w:r>
    </w:p>
    <w:p w14:paraId="7EE23686" w14:textId="30F6C6AE" w:rsidR="00B07382" w:rsidRPr="00D718A4" w:rsidRDefault="00B07382" w:rsidP="00F15BD6">
      <w:pPr>
        <w:ind w:left="284"/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>“</w:t>
      </w:r>
      <w:r w:rsidR="005F7D4A" w:rsidRPr="005F7D4A">
        <w:rPr>
          <w:rFonts w:ascii="Arial" w:hAnsi="Arial" w:cs="Arial"/>
          <w:sz w:val="22"/>
          <w:szCs w:val="22"/>
        </w:rPr>
        <w:t>You have successfully completed a call to the 428 Area Code Test Number at [CARRIER NAME] in New Brunswick, Canada. La communication a été établie avec succès au numéro de vérification de l'indicatif régional 428, à [NOM DU TÉLÉCOMMUNICATEUR], Nouveau Brunswick, Canada.</w:t>
      </w:r>
      <w:bookmarkStart w:id="0" w:name="_GoBack"/>
      <w:bookmarkEnd w:id="0"/>
      <w:r w:rsidR="00354C0F" w:rsidRPr="00D718A4">
        <w:rPr>
          <w:rFonts w:ascii="Arial" w:hAnsi="Arial" w:cs="Arial"/>
          <w:sz w:val="22"/>
          <w:szCs w:val="22"/>
        </w:rPr>
        <w:t>”</w:t>
      </w:r>
    </w:p>
    <w:p w14:paraId="4752B401" w14:textId="77777777" w:rsidR="00B07382" w:rsidRPr="009D4890" w:rsidRDefault="00B07382" w:rsidP="00B07382">
      <w:pPr>
        <w:rPr>
          <w:rFonts w:ascii="Arial" w:hAnsi="Arial" w:cs="Arial"/>
          <w:sz w:val="22"/>
          <w:szCs w:val="22"/>
          <w:highlight w:val="yellow"/>
        </w:rPr>
      </w:pPr>
    </w:p>
    <w:p w14:paraId="4AD077FC" w14:textId="77777777" w:rsidR="00B07382" w:rsidRPr="00D718A4" w:rsidRDefault="00B07382" w:rsidP="00B07382">
      <w:pPr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>The disconnection da</w:t>
      </w:r>
      <w:r w:rsidR="006D5819" w:rsidRPr="00D718A4">
        <w:rPr>
          <w:rFonts w:ascii="Arial" w:hAnsi="Arial" w:cs="Arial"/>
          <w:sz w:val="22"/>
          <w:szCs w:val="22"/>
        </w:rPr>
        <w:t>tes for the t</w:t>
      </w:r>
      <w:r w:rsidRPr="00D718A4">
        <w:rPr>
          <w:rFonts w:ascii="Arial" w:hAnsi="Arial" w:cs="Arial"/>
          <w:sz w:val="22"/>
          <w:szCs w:val="22"/>
        </w:rPr>
        <w:t xml:space="preserve">est numbers </w:t>
      </w:r>
      <w:r w:rsidR="009967F7" w:rsidRPr="00D718A4">
        <w:rPr>
          <w:rFonts w:ascii="Arial" w:hAnsi="Arial" w:cs="Arial"/>
          <w:sz w:val="22"/>
          <w:szCs w:val="22"/>
        </w:rPr>
        <w:t xml:space="preserve">will be between </w:t>
      </w:r>
      <w:r w:rsidR="00D718A4" w:rsidRPr="00D718A4">
        <w:rPr>
          <w:rFonts w:ascii="Arial" w:hAnsi="Arial" w:cs="Arial"/>
          <w:sz w:val="22"/>
          <w:szCs w:val="22"/>
        </w:rPr>
        <w:t>25 January 2021</w:t>
      </w:r>
      <w:r w:rsidR="00354C0F" w:rsidRPr="00D718A4">
        <w:rPr>
          <w:rFonts w:ascii="Arial" w:hAnsi="Arial" w:cs="Arial"/>
          <w:sz w:val="22"/>
          <w:szCs w:val="22"/>
        </w:rPr>
        <w:t xml:space="preserve"> </w:t>
      </w:r>
      <w:r w:rsidR="009967F7" w:rsidRPr="00D718A4">
        <w:rPr>
          <w:rFonts w:ascii="Arial" w:hAnsi="Arial" w:cs="Arial"/>
          <w:sz w:val="22"/>
          <w:szCs w:val="22"/>
        </w:rPr>
        <w:t xml:space="preserve">and </w:t>
      </w:r>
      <w:r w:rsidR="008D5E19" w:rsidRPr="00D718A4">
        <w:rPr>
          <w:rFonts w:ascii="Arial" w:hAnsi="Arial" w:cs="Arial"/>
          <w:sz w:val="22"/>
          <w:szCs w:val="22"/>
        </w:rPr>
        <w:t>2</w:t>
      </w:r>
      <w:r w:rsidR="00D718A4" w:rsidRPr="00D718A4">
        <w:rPr>
          <w:rFonts w:ascii="Arial" w:hAnsi="Arial" w:cs="Arial"/>
          <w:sz w:val="22"/>
          <w:szCs w:val="22"/>
        </w:rPr>
        <w:t>4</w:t>
      </w:r>
      <w:r w:rsidR="004328A4">
        <w:rPr>
          <w:rFonts w:ascii="Arial" w:hAnsi="Arial" w:cs="Arial"/>
          <w:sz w:val="22"/>
          <w:szCs w:val="22"/>
        </w:rPr>
        <w:t> February </w:t>
      </w:r>
      <w:r w:rsidR="008D5E19" w:rsidRPr="00D718A4">
        <w:rPr>
          <w:rFonts w:ascii="Arial" w:hAnsi="Arial" w:cs="Arial"/>
          <w:sz w:val="22"/>
          <w:szCs w:val="22"/>
        </w:rPr>
        <w:t>20</w:t>
      </w:r>
      <w:r w:rsidR="00D718A4" w:rsidRPr="00D718A4">
        <w:rPr>
          <w:rFonts w:ascii="Arial" w:hAnsi="Arial" w:cs="Arial"/>
          <w:sz w:val="22"/>
          <w:szCs w:val="22"/>
        </w:rPr>
        <w:t>21</w:t>
      </w:r>
      <w:r w:rsidR="006D5819" w:rsidRPr="00D718A4">
        <w:rPr>
          <w:rFonts w:ascii="Arial" w:hAnsi="Arial" w:cs="Arial"/>
          <w:sz w:val="22"/>
          <w:szCs w:val="22"/>
        </w:rPr>
        <w:t>.</w:t>
      </w:r>
    </w:p>
    <w:p w14:paraId="3A97CE6C" w14:textId="77777777" w:rsidR="00B07382" w:rsidRPr="009D4890" w:rsidRDefault="00B07382" w:rsidP="00B07382">
      <w:pPr>
        <w:rPr>
          <w:rFonts w:ascii="Arial" w:hAnsi="Arial" w:cs="Arial"/>
          <w:sz w:val="22"/>
          <w:szCs w:val="22"/>
          <w:highlight w:val="yellow"/>
        </w:rPr>
      </w:pPr>
    </w:p>
    <w:p w14:paraId="6CD6D0D6" w14:textId="77777777" w:rsidR="00B07382" w:rsidRPr="00D718A4" w:rsidRDefault="00B07382" w:rsidP="00B07382">
      <w:pPr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 xml:space="preserve">Central Office (NXX) Codes within NPA </w:t>
      </w:r>
      <w:r w:rsidR="00D718A4" w:rsidRPr="00D718A4">
        <w:rPr>
          <w:rFonts w:ascii="Arial" w:hAnsi="Arial" w:cs="Arial"/>
          <w:sz w:val="22"/>
          <w:szCs w:val="22"/>
        </w:rPr>
        <w:t>428</w:t>
      </w:r>
      <w:r w:rsidR="00354C0F" w:rsidRPr="00D718A4">
        <w:rPr>
          <w:rFonts w:ascii="Arial" w:hAnsi="Arial" w:cs="Arial"/>
          <w:sz w:val="22"/>
          <w:szCs w:val="22"/>
        </w:rPr>
        <w:t xml:space="preserve"> </w:t>
      </w:r>
      <w:r w:rsidRPr="00D718A4">
        <w:rPr>
          <w:rFonts w:ascii="Arial" w:hAnsi="Arial" w:cs="Arial"/>
          <w:sz w:val="22"/>
          <w:szCs w:val="22"/>
        </w:rPr>
        <w:t xml:space="preserve">may be assigned to TSPs starting from </w:t>
      </w:r>
      <w:r w:rsidR="00D718A4" w:rsidRPr="00D718A4">
        <w:rPr>
          <w:rFonts w:ascii="Arial" w:hAnsi="Arial" w:cs="Arial"/>
          <w:sz w:val="22"/>
          <w:szCs w:val="22"/>
        </w:rPr>
        <w:t>21</w:t>
      </w:r>
      <w:r w:rsidR="00672981" w:rsidRPr="00D718A4">
        <w:rPr>
          <w:rFonts w:ascii="Arial" w:hAnsi="Arial" w:cs="Arial"/>
          <w:sz w:val="22"/>
          <w:szCs w:val="22"/>
        </w:rPr>
        <w:t> May</w:t>
      </w:r>
      <w:r w:rsidR="008C7F3E" w:rsidRPr="00D718A4">
        <w:rPr>
          <w:rFonts w:ascii="Arial" w:hAnsi="Arial" w:cs="Arial"/>
          <w:sz w:val="22"/>
          <w:szCs w:val="22"/>
        </w:rPr>
        <w:t> 20</w:t>
      </w:r>
      <w:r w:rsidR="00D718A4" w:rsidRPr="00D718A4">
        <w:rPr>
          <w:rFonts w:ascii="Arial" w:hAnsi="Arial" w:cs="Arial"/>
          <w:sz w:val="22"/>
          <w:szCs w:val="22"/>
        </w:rPr>
        <w:t>20</w:t>
      </w:r>
      <w:r w:rsidRPr="00D718A4">
        <w:rPr>
          <w:rFonts w:ascii="Arial" w:hAnsi="Arial" w:cs="Arial"/>
          <w:sz w:val="22"/>
          <w:szCs w:val="22"/>
        </w:rPr>
        <w:t xml:space="preserve">, but cannot be activated in the PSTN prior to the Relief Date of </w:t>
      </w:r>
      <w:r w:rsidR="008D5E19" w:rsidRPr="00D718A4">
        <w:rPr>
          <w:rFonts w:ascii="Arial" w:hAnsi="Arial" w:cs="Arial"/>
          <w:sz w:val="22"/>
          <w:szCs w:val="22"/>
        </w:rPr>
        <w:t>2</w:t>
      </w:r>
      <w:r w:rsidR="00D718A4" w:rsidRPr="00D718A4">
        <w:rPr>
          <w:rFonts w:ascii="Arial" w:hAnsi="Arial" w:cs="Arial"/>
          <w:sz w:val="22"/>
          <w:szCs w:val="22"/>
        </w:rPr>
        <w:t>1</w:t>
      </w:r>
      <w:r w:rsidR="008C7F3E" w:rsidRPr="00D718A4">
        <w:rPr>
          <w:rFonts w:ascii="Arial" w:hAnsi="Arial" w:cs="Arial"/>
          <w:sz w:val="22"/>
          <w:szCs w:val="22"/>
        </w:rPr>
        <w:t> November 20</w:t>
      </w:r>
      <w:r w:rsidR="00D718A4" w:rsidRPr="00D718A4">
        <w:rPr>
          <w:rFonts w:ascii="Arial" w:hAnsi="Arial" w:cs="Arial"/>
          <w:sz w:val="22"/>
          <w:szCs w:val="22"/>
        </w:rPr>
        <w:t>20</w:t>
      </w:r>
      <w:r w:rsidRPr="00D718A4">
        <w:rPr>
          <w:rFonts w:ascii="Arial" w:hAnsi="Arial" w:cs="Arial"/>
          <w:sz w:val="22"/>
          <w:szCs w:val="22"/>
        </w:rPr>
        <w:t>.</w:t>
      </w:r>
    </w:p>
    <w:p w14:paraId="08168626" w14:textId="77777777" w:rsidR="00B07382" w:rsidRPr="009D4890" w:rsidRDefault="00B07382" w:rsidP="00B07382">
      <w:pPr>
        <w:rPr>
          <w:rFonts w:ascii="Arial" w:hAnsi="Arial" w:cs="Arial"/>
          <w:sz w:val="22"/>
          <w:szCs w:val="22"/>
          <w:highlight w:val="yellow"/>
        </w:rPr>
      </w:pPr>
    </w:p>
    <w:p w14:paraId="63252290" w14:textId="77777777" w:rsidR="00354C0F" w:rsidRPr="00B07382" w:rsidRDefault="00D718A4" w:rsidP="00354C0F">
      <w:pPr>
        <w:rPr>
          <w:rFonts w:ascii="Arial" w:hAnsi="Arial" w:cs="Arial"/>
          <w:sz w:val="22"/>
          <w:szCs w:val="22"/>
        </w:rPr>
      </w:pPr>
      <w:r w:rsidRPr="00D718A4">
        <w:rPr>
          <w:rFonts w:ascii="Arial" w:hAnsi="Arial" w:cs="Arial"/>
          <w:sz w:val="22"/>
          <w:szCs w:val="22"/>
        </w:rPr>
        <w:t>For g</w:t>
      </w:r>
      <w:r w:rsidR="00B07382" w:rsidRPr="00D718A4">
        <w:rPr>
          <w:rFonts w:ascii="Arial" w:hAnsi="Arial" w:cs="Arial"/>
          <w:sz w:val="22"/>
          <w:szCs w:val="22"/>
        </w:rPr>
        <w:t>eneral questions about this relief a</w:t>
      </w:r>
      <w:r w:rsidR="008C7F3E" w:rsidRPr="00D718A4">
        <w:rPr>
          <w:rFonts w:ascii="Arial" w:hAnsi="Arial" w:cs="Arial"/>
          <w:sz w:val="22"/>
          <w:szCs w:val="22"/>
        </w:rPr>
        <w:t>ctivity</w:t>
      </w:r>
      <w:r w:rsidRPr="00D718A4">
        <w:rPr>
          <w:rFonts w:ascii="Arial" w:hAnsi="Arial" w:cs="Arial"/>
          <w:sz w:val="22"/>
          <w:szCs w:val="22"/>
        </w:rPr>
        <w:t xml:space="preserve">, contact the Canadian Numbering Administrator at </w:t>
      </w:r>
      <w:hyperlink r:id="rId5" w:history="1">
        <w:r w:rsidRPr="00D718A4">
          <w:rPr>
            <w:rStyle w:val="Hyperlink"/>
            <w:rFonts w:ascii="Arial" w:hAnsi="Arial" w:cs="Arial"/>
            <w:sz w:val="22"/>
            <w:szCs w:val="22"/>
          </w:rPr>
          <w:t>www.cnac.ca</w:t>
        </w:r>
      </w:hyperlink>
      <w:r w:rsidRPr="00D718A4">
        <w:rPr>
          <w:rFonts w:ascii="Arial" w:hAnsi="Arial" w:cs="Arial"/>
          <w:sz w:val="22"/>
          <w:szCs w:val="22"/>
        </w:rPr>
        <w:t xml:space="preserve">. </w:t>
      </w:r>
      <w:r w:rsidR="00B07382" w:rsidRPr="00D718A4">
        <w:rPr>
          <w:rFonts w:ascii="Arial" w:hAnsi="Arial" w:cs="Arial"/>
          <w:sz w:val="22"/>
          <w:szCs w:val="22"/>
        </w:rPr>
        <w:t>Specific questions related to</w:t>
      </w:r>
      <w:r w:rsidR="00354C0F" w:rsidRPr="00D718A4">
        <w:rPr>
          <w:rFonts w:ascii="Arial" w:hAnsi="Arial" w:cs="Arial"/>
          <w:sz w:val="22"/>
          <w:szCs w:val="22"/>
        </w:rPr>
        <w:t xml:space="preserve"> telecommunications services and network routing should be directed to the appropriate TSP.</w:t>
      </w:r>
    </w:p>
    <w:p w14:paraId="22ABE873" w14:textId="77777777" w:rsidR="00B07382" w:rsidRDefault="00B07382" w:rsidP="00B07382">
      <w:pPr>
        <w:rPr>
          <w:rFonts w:ascii="Arial" w:hAnsi="Arial" w:cs="Arial"/>
          <w:sz w:val="22"/>
          <w:szCs w:val="22"/>
        </w:rPr>
      </w:pPr>
    </w:p>
    <w:p w14:paraId="38013A1A" w14:textId="77777777" w:rsidR="004B7FE1" w:rsidRDefault="004B7FE1" w:rsidP="00B07382">
      <w:pPr>
        <w:rPr>
          <w:rFonts w:ascii="Arial" w:hAnsi="Arial" w:cs="Arial"/>
          <w:sz w:val="22"/>
          <w:szCs w:val="22"/>
        </w:rPr>
      </w:pPr>
    </w:p>
    <w:p w14:paraId="221EC55F" w14:textId="77777777" w:rsidR="004B7FE1" w:rsidRDefault="004B7FE1" w:rsidP="00B07382">
      <w:pPr>
        <w:rPr>
          <w:rFonts w:ascii="Arial" w:hAnsi="Arial" w:cs="Arial"/>
          <w:sz w:val="22"/>
          <w:szCs w:val="22"/>
        </w:rPr>
      </w:pPr>
    </w:p>
    <w:p w14:paraId="1186A3C2" w14:textId="77777777" w:rsidR="004B7FE1" w:rsidRDefault="004B7FE1" w:rsidP="00B07382">
      <w:pPr>
        <w:rPr>
          <w:rFonts w:ascii="Arial" w:hAnsi="Arial" w:cs="Arial"/>
          <w:sz w:val="22"/>
          <w:szCs w:val="22"/>
        </w:rPr>
      </w:pPr>
    </w:p>
    <w:p w14:paraId="7544FF92" w14:textId="77777777" w:rsidR="008C7F3E" w:rsidRDefault="008C7F3E" w:rsidP="00B07382">
      <w:pPr>
        <w:rPr>
          <w:rFonts w:ascii="Arial" w:hAnsi="Arial" w:cs="Arial"/>
          <w:sz w:val="22"/>
          <w:szCs w:val="22"/>
        </w:rPr>
      </w:pPr>
    </w:p>
    <w:p w14:paraId="730D89C9" w14:textId="77777777" w:rsidR="004B7FE1" w:rsidRPr="00B07382" w:rsidRDefault="004B7FE1" w:rsidP="00B07382">
      <w:pPr>
        <w:rPr>
          <w:rFonts w:ascii="Arial" w:hAnsi="Arial" w:cs="Arial"/>
          <w:sz w:val="22"/>
          <w:szCs w:val="22"/>
        </w:rPr>
      </w:pPr>
    </w:p>
    <w:p w14:paraId="696BC6B3" w14:textId="77777777" w:rsidR="00B07382" w:rsidRDefault="00B07382" w:rsidP="00B07382">
      <w:pPr>
        <w:rPr>
          <w:rFonts w:ascii="Arial" w:hAnsi="Arial" w:cs="Arial"/>
          <w:sz w:val="22"/>
          <w:szCs w:val="22"/>
        </w:rPr>
      </w:pPr>
      <w:r w:rsidRPr="00B07382">
        <w:rPr>
          <w:rFonts w:ascii="Arial" w:hAnsi="Arial" w:cs="Arial"/>
          <w:sz w:val="22"/>
          <w:szCs w:val="22"/>
        </w:rPr>
        <w:t>Attachments</w:t>
      </w:r>
    </w:p>
    <w:p w14:paraId="66B2A368" w14:textId="77777777" w:rsidR="00B07382" w:rsidRDefault="00B07382" w:rsidP="00B07382">
      <w:pPr>
        <w:rPr>
          <w:rFonts w:ascii="Arial" w:hAnsi="Arial" w:cs="Arial"/>
          <w:sz w:val="22"/>
          <w:szCs w:val="22"/>
        </w:rPr>
      </w:pPr>
    </w:p>
    <w:p w14:paraId="6E33B993" w14:textId="77777777" w:rsidR="004C165E" w:rsidRDefault="004C165E" w:rsidP="00B07382">
      <w:pPr>
        <w:rPr>
          <w:rFonts w:ascii="Arial" w:hAnsi="Arial" w:cs="Arial"/>
          <w:sz w:val="22"/>
          <w:szCs w:val="22"/>
        </w:rPr>
      </w:pPr>
    </w:p>
    <w:p w14:paraId="516332B7" w14:textId="77777777" w:rsidR="004C165E" w:rsidRDefault="004C165E" w:rsidP="00B07382">
      <w:pPr>
        <w:rPr>
          <w:rFonts w:ascii="Arial" w:hAnsi="Arial" w:cs="Arial"/>
          <w:sz w:val="22"/>
          <w:szCs w:val="22"/>
        </w:rPr>
      </w:pPr>
    </w:p>
    <w:p w14:paraId="659D6920" w14:textId="77777777" w:rsidR="004C165E" w:rsidRDefault="004C165E" w:rsidP="004C165E">
      <w:pPr>
        <w:rPr>
          <w:rFonts w:ascii="Arial" w:hAnsi="Arial" w:cs="Arial"/>
          <w:sz w:val="22"/>
          <w:szCs w:val="22"/>
        </w:rPr>
        <w:sectPr w:rsidR="004C165E">
          <w:pgSz w:w="12240" w:h="15840"/>
          <w:pgMar w:top="1440" w:right="1440" w:bottom="1440" w:left="1440" w:header="708" w:footer="708" w:gutter="0"/>
          <w:cols w:space="708"/>
        </w:sectPr>
      </w:pPr>
    </w:p>
    <w:p w14:paraId="62D6D7E0" w14:textId="77777777" w:rsidR="005778E4" w:rsidRDefault="005778E4" w:rsidP="00442E1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Attachment 1</w:t>
      </w:r>
    </w:p>
    <w:p w14:paraId="672491C0" w14:textId="77777777" w:rsidR="00FC0D44" w:rsidRDefault="005778E4" w:rsidP="00442E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Map of </w:t>
      </w:r>
      <w:r w:rsidR="00FC0D44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653E22">
        <w:rPr>
          <w:rFonts w:ascii="Arial" w:hAnsi="Arial" w:cs="Arial"/>
          <w:b/>
          <w:bCs/>
          <w:sz w:val="22"/>
          <w:szCs w:val="22"/>
        </w:rPr>
        <w:t xml:space="preserve">NPA </w:t>
      </w:r>
      <w:r w:rsidR="00EF6975">
        <w:rPr>
          <w:rFonts w:ascii="Arial" w:hAnsi="Arial" w:cs="Arial"/>
          <w:b/>
          <w:bCs/>
          <w:sz w:val="22"/>
          <w:szCs w:val="22"/>
        </w:rPr>
        <w:t>506</w:t>
      </w:r>
      <w:r w:rsidR="00462684">
        <w:rPr>
          <w:rFonts w:ascii="Arial" w:hAnsi="Arial" w:cs="Arial"/>
          <w:b/>
          <w:bCs/>
          <w:sz w:val="22"/>
          <w:szCs w:val="22"/>
        </w:rPr>
        <w:t xml:space="preserve"> </w:t>
      </w:r>
      <w:r w:rsidR="00DC39DA">
        <w:rPr>
          <w:rFonts w:ascii="Arial" w:hAnsi="Arial" w:cs="Arial"/>
          <w:b/>
          <w:bCs/>
          <w:sz w:val="22"/>
          <w:szCs w:val="22"/>
        </w:rPr>
        <w:t>area</w:t>
      </w:r>
      <w:r w:rsidR="00FC0D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F869BE" w14:textId="77777777" w:rsidR="005778E4" w:rsidRDefault="00FC0D44" w:rsidP="00442E14">
      <w:pPr>
        <w:jc w:val="center"/>
        <w:rPr>
          <w:rFonts w:ascii="Arial" w:hAnsi="Arial" w:cs="Arial"/>
          <w:sz w:val="22"/>
          <w:szCs w:val="22"/>
        </w:rPr>
      </w:pPr>
      <w:r w:rsidRPr="008326D8">
        <w:rPr>
          <w:rFonts w:ascii="Arial" w:hAnsi="Arial" w:cs="Arial"/>
          <w:sz w:val="22"/>
          <w:szCs w:val="22"/>
        </w:rPr>
        <w:t xml:space="preserve">(After relief the NPA </w:t>
      </w:r>
      <w:r w:rsidR="00EF6975">
        <w:rPr>
          <w:rFonts w:ascii="Arial" w:hAnsi="Arial" w:cs="Arial"/>
          <w:sz w:val="22"/>
          <w:szCs w:val="22"/>
        </w:rPr>
        <w:t>506</w:t>
      </w:r>
      <w:r w:rsidR="00EC6862" w:rsidRPr="008326D8">
        <w:rPr>
          <w:rFonts w:ascii="Arial" w:hAnsi="Arial" w:cs="Arial"/>
          <w:sz w:val="22"/>
          <w:szCs w:val="22"/>
        </w:rPr>
        <w:t xml:space="preserve"> </w:t>
      </w:r>
      <w:r w:rsidRPr="008326D8">
        <w:rPr>
          <w:rFonts w:ascii="Arial" w:hAnsi="Arial" w:cs="Arial"/>
          <w:sz w:val="22"/>
          <w:szCs w:val="22"/>
        </w:rPr>
        <w:t xml:space="preserve">area will be the NPA </w:t>
      </w:r>
      <w:r w:rsidR="00EF6975">
        <w:rPr>
          <w:rFonts w:ascii="Arial" w:hAnsi="Arial" w:cs="Arial"/>
          <w:sz w:val="22"/>
          <w:szCs w:val="22"/>
        </w:rPr>
        <w:t>428/506</w:t>
      </w:r>
      <w:r w:rsidRPr="008326D8">
        <w:rPr>
          <w:rFonts w:ascii="Arial" w:hAnsi="Arial" w:cs="Arial"/>
          <w:sz w:val="22"/>
          <w:szCs w:val="22"/>
        </w:rPr>
        <w:t xml:space="preserve"> area)</w:t>
      </w:r>
    </w:p>
    <w:p w14:paraId="54FD3C38" w14:textId="77777777" w:rsidR="008D5E19" w:rsidRDefault="008D5E19" w:rsidP="00442E14">
      <w:pPr>
        <w:jc w:val="center"/>
        <w:rPr>
          <w:rFonts w:ascii="Arial" w:hAnsi="Arial" w:cs="Arial"/>
          <w:sz w:val="22"/>
          <w:szCs w:val="22"/>
        </w:rPr>
      </w:pPr>
    </w:p>
    <w:p w14:paraId="11FC11E8" w14:textId="77777777" w:rsidR="00905508" w:rsidRDefault="00905508" w:rsidP="00442E14">
      <w:pPr>
        <w:jc w:val="center"/>
        <w:rPr>
          <w:rFonts w:ascii="Arial" w:hAnsi="Arial" w:cs="Arial"/>
          <w:sz w:val="22"/>
          <w:szCs w:val="22"/>
        </w:rPr>
      </w:pPr>
    </w:p>
    <w:p w14:paraId="0E479CE5" w14:textId="77777777" w:rsidR="00573AD7" w:rsidRDefault="00573AD7" w:rsidP="00442E14">
      <w:pPr>
        <w:jc w:val="center"/>
        <w:rPr>
          <w:rFonts w:ascii="Arial" w:hAnsi="Arial" w:cs="Arial"/>
          <w:sz w:val="22"/>
          <w:szCs w:val="22"/>
        </w:rPr>
      </w:pPr>
    </w:p>
    <w:p w14:paraId="6C5AA5BA" w14:textId="77777777" w:rsidR="00905508" w:rsidRDefault="00905508" w:rsidP="00442E14">
      <w:pPr>
        <w:jc w:val="center"/>
        <w:rPr>
          <w:rFonts w:ascii="Arial" w:hAnsi="Arial" w:cs="Arial"/>
          <w:sz w:val="22"/>
          <w:szCs w:val="22"/>
        </w:rPr>
      </w:pPr>
    </w:p>
    <w:p w14:paraId="6C94B4AC" w14:textId="77777777" w:rsidR="00462684" w:rsidRDefault="00EF6975" w:rsidP="00442E14">
      <w:pPr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noProof/>
          <w:lang w:val="en-CA" w:eastAsia="en-CA"/>
        </w:rPr>
        <w:drawing>
          <wp:inline distT="0" distB="0" distL="0" distR="0" wp14:anchorId="20EFDBB9" wp14:editId="2CCD01E7">
            <wp:extent cx="5943600" cy="6162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PA506_Adjacent-Over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1E1A" w14:textId="77777777" w:rsidR="005778E4" w:rsidRDefault="005778E4" w:rsidP="00B35003">
      <w:pPr>
        <w:rPr>
          <w:rFonts w:ascii="Arial" w:hAnsi="Arial" w:cs="Arial"/>
          <w:sz w:val="22"/>
          <w:szCs w:val="22"/>
        </w:rPr>
        <w:sectPr w:rsidR="005778E4">
          <w:pgSz w:w="12240" w:h="15840"/>
          <w:pgMar w:top="1440" w:right="1440" w:bottom="1440" w:left="1440" w:header="708" w:footer="708" w:gutter="0"/>
          <w:cols w:space="708"/>
        </w:sectPr>
      </w:pPr>
    </w:p>
    <w:p w14:paraId="0D63896A" w14:textId="77777777" w:rsidR="005778E4" w:rsidRDefault="005778E4" w:rsidP="00B350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Attachment 2</w:t>
      </w:r>
    </w:p>
    <w:p w14:paraId="3E9B634D" w14:textId="77777777" w:rsidR="005778E4" w:rsidRPr="009E6CE8" w:rsidRDefault="00DC39DA" w:rsidP="00193D8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Exchange Areas in NPA</w:t>
      </w:r>
      <w:r w:rsidR="005778E4" w:rsidRPr="009E6CE8">
        <w:rPr>
          <w:rFonts w:ascii="Arial" w:hAnsi="Arial" w:cs="Arial"/>
          <w:b/>
          <w:bCs/>
          <w:sz w:val="22"/>
          <w:szCs w:val="22"/>
        </w:rPr>
        <w:t xml:space="preserve"> </w:t>
      </w:r>
      <w:r w:rsidR="00EF6975">
        <w:rPr>
          <w:rFonts w:ascii="Arial" w:hAnsi="Arial" w:cs="Arial"/>
          <w:b/>
          <w:bCs/>
          <w:sz w:val="22"/>
          <w:szCs w:val="22"/>
        </w:rPr>
        <w:t>506</w:t>
      </w:r>
    </w:p>
    <w:p w14:paraId="6A3D58DC" w14:textId="77777777" w:rsidR="00DC39DA" w:rsidRDefault="00DC39DA" w:rsidP="00C029A2">
      <w:pPr>
        <w:ind w:left="426" w:hanging="426"/>
        <w:rPr>
          <w:rFonts w:ascii="Arial" w:hAnsi="Arial" w:cs="Arial"/>
          <w:sz w:val="22"/>
          <w:szCs w:val="22"/>
        </w:rPr>
      </w:pPr>
    </w:p>
    <w:p w14:paraId="4E86F299" w14:textId="77777777" w:rsidR="005778E4" w:rsidRDefault="005778E4" w:rsidP="00C029A2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Existing Exchange</w:t>
      </w:r>
      <w:r w:rsidR="00DC39DA">
        <w:rPr>
          <w:rFonts w:ascii="Arial" w:hAnsi="Arial" w:cs="Arial"/>
          <w:sz w:val="22"/>
          <w:szCs w:val="22"/>
        </w:rPr>
        <w:t xml:space="preserve"> Area</w:t>
      </w:r>
      <w:r>
        <w:rPr>
          <w:rFonts w:ascii="Arial" w:hAnsi="Arial" w:cs="Arial"/>
          <w:sz w:val="22"/>
          <w:szCs w:val="22"/>
        </w:rPr>
        <w:t xml:space="preserve">s in </w:t>
      </w:r>
      <w:r w:rsidRPr="009E6CE8">
        <w:rPr>
          <w:rFonts w:ascii="Arial" w:hAnsi="Arial" w:cs="Arial"/>
          <w:sz w:val="22"/>
          <w:szCs w:val="22"/>
        </w:rPr>
        <w:t xml:space="preserve">NPA </w:t>
      </w:r>
      <w:r w:rsidR="00EF6975">
        <w:rPr>
          <w:rFonts w:ascii="Arial" w:hAnsi="Arial" w:cs="Arial"/>
          <w:sz w:val="22"/>
          <w:szCs w:val="22"/>
        </w:rPr>
        <w:t>506</w:t>
      </w:r>
      <w:r>
        <w:rPr>
          <w:rFonts w:ascii="Arial" w:hAnsi="Arial" w:cs="Arial"/>
          <w:sz w:val="22"/>
          <w:szCs w:val="22"/>
        </w:rPr>
        <w:t xml:space="preserve">; </w:t>
      </w:r>
      <w:r w:rsidR="00DC39DA">
        <w:rPr>
          <w:rFonts w:ascii="Arial" w:hAnsi="Arial" w:cs="Arial"/>
          <w:sz w:val="22"/>
          <w:szCs w:val="22"/>
        </w:rPr>
        <w:t xml:space="preserve">these </w:t>
      </w:r>
      <w:r>
        <w:rPr>
          <w:rFonts w:ascii="Arial" w:hAnsi="Arial" w:cs="Arial"/>
          <w:sz w:val="22"/>
          <w:szCs w:val="22"/>
        </w:rPr>
        <w:t xml:space="preserve">will be in NPA </w:t>
      </w:r>
      <w:r w:rsidR="00EF6975">
        <w:rPr>
          <w:rFonts w:ascii="Arial" w:hAnsi="Arial" w:cs="Arial"/>
          <w:sz w:val="22"/>
          <w:szCs w:val="22"/>
        </w:rPr>
        <w:t>428</w:t>
      </w:r>
      <w:r w:rsidR="00462684">
        <w:rPr>
          <w:rFonts w:ascii="Arial" w:hAnsi="Arial" w:cs="Arial"/>
          <w:sz w:val="22"/>
          <w:szCs w:val="22"/>
        </w:rPr>
        <w:t xml:space="preserve"> </w:t>
      </w:r>
      <w:r w:rsidR="00DC39DA">
        <w:rPr>
          <w:rFonts w:ascii="Arial" w:hAnsi="Arial" w:cs="Arial"/>
          <w:sz w:val="22"/>
          <w:szCs w:val="22"/>
        </w:rPr>
        <w:t xml:space="preserve">and </w:t>
      </w:r>
      <w:r w:rsidR="00EF6975">
        <w:rPr>
          <w:rFonts w:ascii="Arial" w:hAnsi="Arial" w:cs="Arial"/>
          <w:sz w:val="22"/>
          <w:szCs w:val="22"/>
        </w:rPr>
        <w:t>506</w:t>
      </w:r>
      <w:r w:rsidR="004626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after the </w:t>
      </w:r>
      <w:r w:rsidR="004328A4">
        <w:rPr>
          <w:rFonts w:ascii="Arial" w:hAnsi="Arial" w:cs="Arial"/>
          <w:sz w:val="22"/>
          <w:szCs w:val="22"/>
        </w:rPr>
        <w:t>O</w:t>
      </w:r>
      <w:r w:rsidR="00DC39DA">
        <w:rPr>
          <w:rFonts w:ascii="Arial" w:hAnsi="Arial" w:cs="Arial"/>
          <w:sz w:val="22"/>
          <w:szCs w:val="22"/>
        </w:rPr>
        <w:t>verlay</w:t>
      </w:r>
    </w:p>
    <w:p w14:paraId="2A15A908" w14:textId="77777777" w:rsidR="005778E4" w:rsidRDefault="005778E4" w:rsidP="00C029A2">
      <w:pPr>
        <w:ind w:left="426" w:hanging="426"/>
        <w:rPr>
          <w:rFonts w:ascii="Arial" w:hAnsi="Arial" w:cs="Arial"/>
          <w:sz w:val="22"/>
          <w:szCs w:val="22"/>
        </w:rPr>
      </w:pPr>
    </w:p>
    <w:p w14:paraId="1C025C65" w14:textId="77777777" w:rsidR="008D5E19" w:rsidRDefault="008D5E19" w:rsidP="00C029A2">
      <w:pPr>
        <w:ind w:left="426" w:hanging="426"/>
        <w:rPr>
          <w:rFonts w:ascii="Arial" w:hAnsi="Arial" w:cs="Arial"/>
          <w:sz w:val="22"/>
          <w:szCs w:val="22"/>
        </w:rPr>
        <w:sectPr w:rsidR="008D5E19" w:rsidSect="008D5E19">
          <w:pgSz w:w="12240" w:h="15840"/>
          <w:pgMar w:top="851" w:right="1467" w:bottom="1440" w:left="1440" w:header="708" w:footer="708" w:gutter="0"/>
          <w:cols w:space="708"/>
        </w:sectPr>
      </w:pPr>
    </w:p>
    <w:tbl>
      <w:tblPr>
        <w:tblStyle w:val="TableGrid"/>
        <w:tblW w:w="2195" w:type="dxa"/>
        <w:tblInd w:w="426" w:type="dxa"/>
        <w:tblLook w:val="04A0" w:firstRow="1" w:lastRow="0" w:firstColumn="1" w:lastColumn="0" w:noHBand="0" w:noVBand="1"/>
      </w:tblPr>
      <w:tblGrid>
        <w:gridCol w:w="2195"/>
      </w:tblGrid>
      <w:tr w:rsidR="00EF6975" w:rsidRPr="00EF6975" w14:paraId="75D6FBFF" w14:textId="77777777" w:rsidTr="00EF6975">
        <w:trPr>
          <w:tblHeader/>
        </w:trPr>
        <w:tc>
          <w:tcPr>
            <w:tcW w:w="2195" w:type="dxa"/>
            <w:vAlign w:val="bottom"/>
          </w:tcPr>
          <w:p w14:paraId="219F42EB" w14:textId="77777777" w:rsidR="00EF6975" w:rsidRPr="00EF6975" w:rsidRDefault="00EF6975" w:rsidP="00EF69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Exchange Name</w:t>
            </w:r>
          </w:p>
        </w:tc>
      </w:tr>
      <w:tr w:rsidR="00EF6975" w:rsidRPr="00EF6975" w14:paraId="1867408C" w14:textId="77777777" w:rsidTr="00EF6975">
        <w:tc>
          <w:tcPr>
            <w:tcW w:w="2195" w:type="dxa"/>
            <w:vAlign w:val="bottom"/>
          </w:tcPr>
          <w:p w14:paraId="538E628B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Allardville</w:t>
            </w:r>
          </w:p>
        </w:tc>
      </w:tr>
      <w:tr w:rsidR="00EF6975" w:rsidRPr="00EF6975" w14:paraId="18E2D1C5" w14:textId="77777777" w:rsidTr="00EF6975">
        <w:tc>
          <w:tcPr>
            <w:tcW w:w="2195" w:type="dxa"/>
            <w:vAlign w:val="bottom"/>
          </w:tcPr>
          <w:p w14:paraId="4C23EA5D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Balmoral</w:t>
            </w:r>
          </w:p>
        </w:tc>
      </w:tr>
      <w:tr w:rsidR="00EF6975" w:rsidRPr="00EF6975" w14:paraId="2F297889" w14:textId="77777777" w:rsidTr="00EF6975">
        <w:tc>
          <w:tcPr>
            <w:tcW w:w="2195" w:type="dxa"/>
            <w:vAlign w:val="bottom"/>
          </w:tcPr>
          <w:p w14:paraId="50964031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Bathurst</w:t>
            </w:r>
          </w:p>
        </w:tc>
      </w:tr>
      <w:tr w:rsidR="00EF6975" w:rsidRPr="00EF6975" w14:paraId="14EEE895" w14:textId="77777777" w:rsidTr="00EF6975">
        <w:tc>
          <w:tcPr>
            <w:tcW w:w="2195" w:type="dxa"/>
            <w:vAlign w:val="bottom"/>
          </w:tcPr>
          <w:p w14:paraId="6501E65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Belledune</w:t>
            </w:r>
          </w:p>
        </w:tc>
      </w:tr>
      <w:tr w:rsidR="00EF6975" w:rsidRPr="00EF6975" w14:paraId="1630778A" w14:textId="77777777" w:rsidTr="00EF6975">
        <w:tc>
          <w:tcPr>
            <w:tcW w:w="2195" w:type="dxa"/>
            <w:vAlign w:val="bottom"/>
          </w:tcPr>
          <w:p w14:paraId="2C5D6676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Campbellton</w:t>
            </w:r>
          </w:p>
        </w:tc>
      </w:tr>
      <w:tr w:rsidR="00EF6975" w:rsidRPr="00EF6975" w14:paraId="68DD6F78" w14:textId="77777777" w:rsidTr="00EF6975">
        <w:tc>
          <w:tcPr>
            <w:tcW w:w="2195" w:type="dxa"/>
            <w:vAlign w:val="bottom"/>
          </w:tcPr>
          <w:p w14:paraId="5C66A53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Caraquet</w:t>
            </w:r>
          </w:p>
        </w:tc>
      </w:tr>
      <w:tr w:rsidR="00EF6975" w:rsidRPr="00EF6975" w14:paraId="2E6431F7" w14:textId="77777777" w:rsidTr="00EF6975">
        <w:tc>
          <w:tcPr>
            <w:tcW w:w="2195" w:type="dxa"/>
            <w:vAlign w:val="bottom"/>
          </w:tcPr>
          <w:p w14:paraId="120A40C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Dalhousie</w:t>
            </w:r>
          </w:p>
        </w:tc>
      </w:tr>
      <w:tr w:rsidR="00EF6975" w:rsidRPr="00EF6975" w14:paraId="57558FAB" w14:textId="77777777" w:rsidTr="00EF6975">
        <w:tc>
          <w:tcPr>
            <w:tcW w:w="2195" w:type="dxa"/>
            <w:vAlign w:val="bottom"/>
          </w:tcPr>
          <w:p w14:paraId="54DDAD7E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Grande-Anse</w:t>
            </w:r>
          </w:p>
        </w:tc>
      </w:tr>
      <w:tr w:rsidR="00EF6975" w:rsidRPr="00EF6975" w14:paraId="1AB9D85D" w14:textId="77777777" w:rsidTr="00EF6975">
        <w:tc>
          <w:tcPr>
            <w:tcW w:w="2195" w:type="dxa"/>
            <w:vAlign w:val="bottom"/>
          </w:tcPr>
          <w:p w14:paraId="0875653F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Lameque</w:t>
            </w:r>
          </w:p>
        </w:tc>
      </w:tr>
      <w:tr w:rsidR="00EF6975" w:rsidRPr="00EF6975" w14:paraId="40A64785" w14:textId="77777777" w:rsidTr="00EF6975">
        <w:tc>
          <w:tcPr>
            <w:tcW w:w="2195" w:type="dxa"/>
            <w:vAlign w:val="bottom"/>
          </w:tcPr>
          <w:p w14:paraId="66AE1D48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Paquetville</w:t>
            </w:r>
          </w:p>
        </w:tc>
      </w:tr>
      <w:tr w:rsidR="00EF6975" w:rsidRPr="00EF6975" w14:paraId="52259162" w14:textId="77777777" w:rsidTr="00EF6975">
        <w:tc>
          <w:tcPr>
            <w:tcW w:w="2195" w:type="dxa"/>
            <w:vAlign w:val="bottom"/>
          </w:tcPr>
          <w:p w14:paraId="46129687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Petit-Rocher</w:t>
            </w:r>
          </w:p>
        </w:tc>
      </w:tr>
      <w:tr w:rsidR="00EF6975" w:rsidRPr="00EF6975" w14:paraId="75E37481" w14:textId="77777777" w:rsidTr="00EF6975">
        <w:tc>
          <w:tcPr>
            <w:tcW w:w="2195" w:type="dxa"/>
            <w:vAlign w:val="bottom"/>
          </w:tcPr>
          <w:p w14:paraId="06473C5D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Saint-Isidore</w:t>
            </w:r>
          </w:p>
        </w:tc>
      </w:tr>
      <w:tr w:rsidR="00EF6975" w:rsidRPr="00EF6975" w14:paraId="47C953D3" w14:textId="77777777" w:rsidTr="00EF6975">
        <w:tc>
          <w:tcPr>
            <w:tcW w:w="2195" w:type="dxa"/>
            <w:vAlign w:val="bottom"/>
          </w:tcPr>
          <w:p w14:paraId="31F965F6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Shippagan</w:t>
            </w:r>
          </w:p>
        </w:tc>
      </w:tr>
      <w:tr w:rsidR="00EF6975" w:rsidRPr="00EF6975" w14:paraId="02A0FD3B" w14:textId="77777777" w:rsidTr="00EF6975">
        <w:tc>
          <w:tcPr>
            <w:tcW w:w="2195" w:type="dxa"/>
            <w:vAlign w:val="bottom"/>
          </w:tcPr>
          <w:p w14:paraId="11A1AE1B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Tracadie</w:t>
            </w:r>
          </w:p>
        </w:tc>
      </w:tr>
      <w:tr w:rsidR="00EF6975" w:rsidRPr="00EF6975" w14:paraId="52EAE09A" w14:textId="77777777" w:rsidTr="00EF6975">
        <w:tc>
          <w:tcPr>
            <w:tcW w:w="2195" w:type="dxa"/>
            <w:vAlign w:val="bottom"/>
          </w:tcPr>
          <w:p w14:paraId="751F757B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Baker Brook</w:t>
            </w:r>
          </w:p>
        </w:tc>
      </w:tr>
      <w:tr w:rsidR="00EF6975" w:rsidRPr="00EF6975" w14:paraId="701893B4" w14:textId="77777777" w:rsidTr="00EF6975">
        <w:tc>
          <w:tcPr>
            <w:tcW w:w="2195" w:type="dxa"/>
            <w:vAlign w:val="bottom"/>
          </w:tcPr>
          <w:p w14:paraId="17B75A86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Clair</w:t>
            </w:r>
          </w:p>
        </w:tc>
      </w:tr>
      <w:tr w:rsidR="00EF6975" w:rsidRPr="00EF6975" w14:paraId="3ADF0B12" w14:textId="77777777" w:rsidTr="00EF6975">
        <w:tc>
          <w:tcPr>
            <w:tcW w:w="2195" w:type="dxa"/>
            <w:vAlign w:val="bottom"/>
          </w:tcPr>
          <w:p w14:paraId="79E7561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Edmundston</w:t>
            </w:r>
          </w:p>
        </w:tc>
      </w:tr>
      <w:tr w:rsidR="00EF6975" w:rsidRPr="00EF6975" w14:paraId="58FE4BF1" w14:textId="77777777" w:rsidTr="00EF6975">
        <w:tc>
          <w:tcPr>
            <w:tcW w:w="2195" w:type="dxa"/>
            <w:vAlign w:val="bottom"/>
          </w:tcPr>
          <w:p w14:paraId="19B8937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Florenceville</w:t>
            </w:r>
          </w:p>
        </w:tc>
      </w:tr>
      <w:tr w:rsidR="00EF6975" w:rsidRPr="00EF6975" w14:paraId="54D09264" w14:textId="77777777" w:rsidTr="00EF6975">
        <w:tc>
          <w:tcPr>
            <w:tcW w:w="2195" w:type="dxa"/>
            <w:vAlign w:val="bottom"/>
          </w:tcPr>
          <w:p w14:paraId="2EB4453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Grand Falls</w:t>
            </w:r>
          </w:p>
        </w:tc>
      </w:tr>
      <w:tr w:rsidR="00EF6975" w:rsidRPr="00EF6975" w14:paraId="1BA273B4" w14:textId="77777777" w:rsidTr="00EF6975">
        <w:tc>
          <w:tcPr>
            <w:tcW w:w="2195" w:type="dxa"/>
            <w:vAlign w:val="bottom"/>
          </w:tcPr>
          <w:p w14:paraId="608CFBBD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Hartland</w:t>
            </w:r>
          </w:p>
        </w:tc>
      </w:tr>
      <w:tr w:rsidR="00EF6975" w:rsidRPr="00EF6975" w14:paraId="4D337F0F" w14:textId="77777777" w:rsidTr="00EF6975">
        <w:tc>
          <w:tcPr>
            <w:tcW w:w="2195" w:type="dxa"/>
            <w:vAlign w:val="bottom"/>
          </w:tcPr>
          <w:p w14:paraId="423D8566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Kedgwick</w:t>
            </w:r>
          </w:p>
        </w:tc>
      </w:tr>
      <w:tr w:rsidR="00EF6975" w:rsidRPr="00EF6975" w14:paraId="0FA13E63" w14:textId="77777777" w:rsidTr="00EF6975">
        <w:tc>
          <w:tcPr>
            <w:tcW w:w="2195" w:type="dxa"/>
            <w:vAlign w:val="bottom"/>
          </w:tcPr>
          <w:p w14:paraId="4B9E3698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New Denmark</w:t>
            </w:r>
          </w:p>
        </w:tc>
      </w:tr>
      <w:tr w:rsidR="00EF6975" w:rsidRPr="00EF6975" w14:paraId="1DB469A3" w14:textId="77777777" w:rsidTr="00EF6975">
        <w:tc>
          <w:tcPr>
            <w:tcW w:w="2195" w:type="dxa"/>
            <w:vAlign w:val="bottom"/>
          </w:tcPr>
          <w:p w14:paraId="37E3154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Perth-Andover</w:t>
            </w:r>
          </w:p>
        </w:tc>
      </w:tr>
      <w:tr w:rsidR="00EF6975" w:rsidRPr="00EF6975" w14:paraId="5910409F" w14:textId="77777777" w:rsidTr="00EF6975">
        <w:tc>
          <w:tcPr>
            <w:tcW w:w="2195" w:type="dxa"/>
            <w:vAlign w:val="bottom"/>
          </w:tcPr>
          <w:p w14:paraId="2D455D12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Plaster Rock</w:t>
            </w:r>
          </w:p>
        </w:tc>
      </w:tr>
      <w:tr w:rsidR="00EF6975" w:rsidRPr="00EF6975" w14:paraId="18DE9F53" w14:textId="77777777" w:rsidTr="00EF6975">
        <w:tc>
          <w:tcPr>
            <w:tcW w:w="2195" w:type="dxa"/>
            <w:vAlign w:val="bottom"/>
          </w:tcPr>
          <w:p w14:paraId="5F8BFFBB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 Basile</w:t>
            </w:r>
          </w:p>
        </w:tc>
      </w:tr>
      <w:tr w:rsidR="00EF6975" w:rsidRPr="00EF6975" w14:paraId="319B00AE" w14:textId="77777777" w:rsidTr="00EF6975">
        <w:tc>
          <w:tcPr>
            <w:tcW w:w="2195" w:type="dxa"/>
            <w:vAlign w:val="bottom"/>
          </w:tcPr>
          <w:p w14:paraId="2F92E654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Sainte-Anne-de-Madawaska</w:t>
            </w:r>
          </w:p>
        </w:tc>
      </w:tr>
      <w:tr w:rsidR="00EF6975" w:rsidRPr="00EF6975" w14:paraId="1DBB43F0" w14:textId="77777777" w:rsidTr="00EF6975">
        <w:tc>
          <w:tcPr>
            <w:tcW w:w="2195" w:type="dxa"/>
            <w:vAlign w:val="bottom"/>
          </w:tcPr>
          <w:p w14:paraId="2275D6B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Saint-Quentin</w:t>
            </w:r>
          </w:p>
        </w:tc>
      </w:tr>
      <w:tr w:rsidR="00EF6975" w:rsidRPr="00EF6975" w14:paraId="4A8EA86E" w14:textId="77777777" w:rsidTr="00EF6975">
        <w:tc>
          <w:tcPr>
            <w:tcW w:w="2195" w:type="dxa"/>
            <w:vAlign w:val="bottom"/>
          </w:tcPr>
          <w:p w14:paraId="342A01A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Leonard</w:t>
            </w:r>
          </w:p>
        </w:tc>
      </w:tr>
      <w:tr w:rsidR="00EF6975" w:rsidRPr="00EF6975" w14:paraId="036A13ED" w14:textId="77777777" w:rsidTr="00EF6975">
        <w:tc>
          <w:tcPr>
            <w:tcW w:w="2195" w:type="dxa"/>
            <w:vAlign w:val="bottom"/>
          </w:tcPr>
          <w:p w14:paraId="5DE05D5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Woodstock</w:t>
            </w:r>
          </w:p>
        </w:tc>
      </w:tr>
      <w:tr w:rsidR="00EF6975" w:rsidRPr="00EF6975" w14:paraId="4D045763" w14:textId="77777777" w:rsidTr="00EF6975">
        <w:tc>
          <w:tcPr>
            <w:tcW w:w="2195" w:type="dxa"/>
            <w:vAlign w:val="bottom"/>
          </w:tcPr>
          <w:p w14:paraId="178B107D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Baie-Sainte Anne</w:t>
            </w:r>
          </w:p>
        </w:tc>
      </w:tr>
      <w:tr w:rsidR="00EF6975" w:rsidRPr="00EF6975" w14:paraId="26E5C65A" w14:textId="77777777" w:rsidTr="00EF6975">
        <w:tc>
          <w:tcPr>
            <w:tcW w:w="2195" w:type="dxa"/>
            <w:vAlign w:val="bottom"/>
          </w:tcPr>
          <w:p w14:paraId="3A9951D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Blackville</w:t>
            </w:r>
          </w:p>
        </w:tc>
      </w:tr>
      <w:tr w:rsidR="00EF6975" w:rsidRPr="00EF6975" w14:paraId="436C14AF" w14:textId="77777777" w:rsidTr="00EF6975">
        <w:tc>
          <w:tcPr>
            <w:tcW w:w="2195" w:type="dxa"/>
            <w:vAlign w:val="bottom"/>
          </w:tcPr>
          <w:p w14:paraId="57F74056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Boiestown</w:t>
            </w:r>
          </w:p>
        </w:tc>
      </w:tr>
      <w:tr w:rsidR="00EF6975" w:rsidRPr="00EF6975" w14:paraId="6BC60EEB" w14:textId="77777777" w:rsidTr="00EF6975">
        <w:tc>
          <w:tcPr>
            <w:tcW w:w="2195" w:type="dxa"/>
            <w:vAlign w:val="bottom"/>
          </w:tcPr>
          <w:p w14:paraId="24625791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Bouctouche</w:t>
            </w:r>
          </w:p>
        </w:tc>
      </w:tr>
      <w:tr w:rsidR="00EF6975" w:rsidRPr="00EF6975" w14:paraId="6B5A6126" w14:textId="77777777" w:rsidTr="00EF6975">
        <w:tc>
          <w:tcPr>
            <w:tcW w:w="2195" w:type="dxa"/>
            <w:vAlign w:val="bottom"/>
          </w:tcPr>
          <w:p w14:paraId="283744E2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Cap-Pele</w:t>
            </w:r>
          </w:p>
        </w:tc>
      </w:tr>
      <w:tr w:rsidR="00EF6975" w:rsidRPr="00EF6975" w14:paraId="17B7A9FE" w14:textId="77777777" w:rsidTr="00EF6975">
        <w:tc>
          <w:tcPr>
            <w:tcW w:w="2195" w:type="dxa"/>
            <w:vAlign w:val="bottom"/>
          </w:tcPr>
          <w:p w14:paraId="054DE0D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Cocagne</w:t>
            </w:r>
          </w:p>
        </w:tc>
      </w:tr>
      <w:tr w:rsidR="00EF6975" w:rsidRPr="00EF6975" w14:paraId="57481419" w14:textId="77777777" w:rsidTr="00EF6975">
        <w:tc>
          <w:tcPr>
            <w:tcW w:w="2195" w:type="dxa"/>
            <w:vAlign w:val="bottom"/>
          </w:tcPr>
          <w:p w14:paraId="7C0141D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Doaktown</w:t>
            </w:r>
          </w:p>
        </w:tc>
      </w:tr>
      <w:tr w:rsidR="00EF6975" w:rsidRPr="00EF6975" w14:paraId="1128DB27" w14:textId="77777777" w:rsidTr="00EF6975">
        <w:tc>
          <w:tcPr>
            <w:tcW w:w="2195" w:type="dxa"/>
            <w:vAlign w:val="bottom"/>
          </w:tcPr>
          <w:p w14:paraId="0337DD13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Dorchester</w:t>
            </w:r>
          </w:p>
        </w:tc>
      </w:tr>
      <w:tr w:rsidR="00EF6975" w:rsidRPr="00EF6975" w14:paraId="37F9A39E" w14:textId="77777777" w:rsidTr="00EF6975">
        <w:tc>
          <w:tcPr>
            <w:tcW w:w="2195" w:type="dxa"/>
            <w:vAlign w:val="bottom"/>
          </w:tcPr>
          <w:p w14:paraId="676C11F4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Fords Mills</w:t>
            </w:r>
          </w:p>
        </w:tc>
      </w:tr>
      <w:tr w:rsidR="00EF6975" w:rsidRPr="00EF6975" w14:paraId="41F64DBC" w14:textId="77777777" w:rsidTr="00EF6975">
        <w:tc>
          <w:tcPr>
            <w:tcW w:w="2195" w:type="dxa"/>
            <w:vAlign w:val="bottom"/>
          </w:tcPr>
          <w:p w14:paraId="7F06C667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Memramcook</w:t>
            </w:r>
          </w:p>
        </w:tc>
      </w:tr>
      <w:tr w:rsidR="00EF6975" w:rsidRPr="00EF6975" w14:paraId="25B6A0C4" w14:textId="77777777" w:rsidTr="00EF6975">
        <w:tc>
          <w:tcPr>
            <w:tcW w:w="2195" w:type="dxa"/>
            <w:vAlign w:val="bottom"/>
          </w:tcPr>
          <w:p w14:paraId="211109EE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Miramichi</w:t>
            </w:r>
          </w:p>
        </w:tc>
      </w:tr>
      <w:tr w:rsidR="00EF6975" w:rsidRPr="00EF6975" w14:paraId="0B9BAC7C" w14:textId="77777777" w:rsidTr="00EF6975">
        <w:tc>
          <w:tcPr>
            <w:tcW w:w="2195" w:type="dxa"/>
            <w:vAlign w:val="bottom"/>
          </w:tcPr>
          <w:p w14:paraId="6A42469C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Neguac</w:t>
            </w:r>
          </w:p>
        </w:tc>
      </w:tr>
      <w:tr w:rsidR="00EF6975" w:rsidRPr="00EF6975" w14:paraId="7BC57EEE" w14:textId="77777777" w:rsidTr="00EF6975">
        <w:tc>
          <w:tcPr>
            <w:tcW w:w="2195" w:type="dxa"/>
            <w:vAlign w:val="bottom"/>
          </w:tcPr>
          <w:p w14:paraId="6E34D468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Richibucto</w:t>
            </w:r>
          </w:p>
        </w:tc>
      </w:tr>
      <w:tr w:rsidR="00EF6975" w:rsidRPr="00EF6975" w14:paraId="3467ED05" w14:textId="77777777" w:rsidTr="00EF6975">
        <w:tc>
          <w:tcPr>
            <w:tcW w:w="2195" w:type="dxa"/>
            <w:vAlign w:val="bottom"/>
          </w:tcPr>
          <w:p w14:paraId="62A3790E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Rogersville</w:t>
            </w:r>
          </w:p>
        </w:tc>
      </w:tr>
      <w:tr w:rsidR="00EF6975" w:rsidRPr="00EF6975" w14:paraId="272ABF86" w14:textId="77777777" w:rsidTr="00EF6975">
        <w:tc>
          <w:tcPr>
            <w:tcW w:w="2195" w:type="dxa"/>
            <w:vAlign w:val="bottom"/>
          </w:tcPr>
          <w:p w14:paraId="11FCB7F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Sackville</w:t>
            </w:r>
          </w:p>
        </w:tc>
      </w:tr>
      <w:tr w:rsidR="00EF6975" w:rsidRPr="00EF6975" w14:paraId="26523748" w14:textId="77777777" w:rsidTr="00EF6975">
        <w:tc>
          <w:tcPr>
            <w:tcW w:w="2195" w:type="dxa"/>
            <w:vAlign w:val="bottom"/>
          </w:tcPr>
          <w:p w14:paraId="2E023905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Saint-Antoine</w:t>
            </w:r>
          </w:p>
        </w:tc>
      </w:tr>
      <w:tr w:rsidR="00EF6975" w:rsidRPr="00EF6975" w14:paraId="420D48E5" w14:textId="77777777" w:rsidTr="00EF6975">
        <w:tc>
          <w:tcPr>
            <w:tcW w:w="2195" w:type="dxa"/>
            <w:vAlign w:val="bottom"/>
          </w:tcPr>
          <w:p w14:paraId="3B1F7D0E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Shediac</w:t>
            </w:r>
          </w:p>
        </w:tc>
      </w:tr>
      <w:tr w:rsidR="00EF6975" w:rsidRPr="00EF6975" w14:paraId="5C25A2BA" w14:textId="77777777" w:rsidTr="00EF6975">
        <w:tc>
          <w:tcPr>
            <w:tcW w:w="2195" w:type="dxa"/>
            <w:vAlign w:val="bottom"/>
          </w:tcPr>
          <w:p w14:paraId="12B2459F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Louis-de-Kent</w:t>
            </w:r>
          </w:p>
        </w:tc>
      </w:tr>
      <w:tr w:rsidR="00EF6975" w:rsidRPr="00EF6975" w14:paraId="05C30677" w14:textId="77777777" w:rsidTr="00EF6975">
        <w:tc>
          <w:tcPr>
            <w:tcW w:w="2195" w:type="dxa"/>
            <w:vAlign w:val="bottom"/>
          </w:tcPr>
          <w:p w14:paraId="2AE09BB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Stanley</w:t>
            </w:r>
          </w:p>
        </w:tc>
      </w:tr>
      <w:tr w:rsidR="00EF6975" w:rsidRPr="00EF6975" w14:paraId="795BEB28" w14:textId="77777777" w:rsidTr="00EF6975">
        <w:tc>
          <w:tcPr>
            <w:tcW w:w="2195" w:type="dxa"/>
            <w:vAlign w:val="bottom"/>
          </w:tcPr>
          <w:p w14:paraId="25DBB92E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Blacks Harbour</w:t>
            </w:r>
          </w:p>
        </w:tc>
      </w:tr>
      <w:tr w:rsidR="00EF6975" w:rsidRPr="00EF6975" w14:paraId="3A3A8BFA" w14:textId="77777777" w:rsidTr="00EF6975">
        <w:tc>
          <w:tcPr>
            <w:tcW w:w="2195" w:type="dxa"/>
            <w:vAlign w:val="bottom"/>
          </w:tcPr>
          <w:p w14:paraId="56594861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Browns Flat</w:t>
            </w:r>
          </w:p>
        </w:tc>
      </w:tr>
      <w:tr w:rsidR="00EF6975" w:rsidRPr="00EF6975" w14:paraId="19B27A45" w14:textId="77777777" w:rsidTr="00EF6975">
        <w:tc>
          <w:tcPr>
            <w:tcW w:w="2195" w:type="dxa"/>
            <w:vAlign w:val="bottom"/>
          </w:tcPr>
          <w:p w14:paraId="7318CE62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Campobello</w:t>
            </w:r>
          </w:p>
        </w:tc>
      </w:tr>
      <w:tr w:rsidR="00EF6975" w:rsidRPr="00EF6975" w14:paraId="5421DE53" w14:textId="77777777" w:rsidTr="00EF6975">
        <w:tc>
          <w:tcPr>
            <w:tcW w:w="2195" w:type="dxa"/>
            <w:vAlign w:val="bottom"/>
          </w:tcPr>
          <w:p w14:paraId="6F09557F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Deer Island</w:t>
            </w:r>
          </w:p>
        </w:tc>
      </w:tr>
      <w:tr w:rsidR="00EF6975" w:rsidRPr="00EF6975" w14:paraId="66342F41" w14:textId="77777777" w:rsidTr="00EF6975">
        <w:tc>
          <w:tcPr>
            <w:tcW w:w="2195" w:type="dxa"/>
            <w:vAlign w:val="bottom"/>
          </w:tcPr>
          <w:p w14:paraId="325AF34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Grand Bay-Westfield</w:t>
            </w:r>
          </w:p>
        </w:tc>
      </w:tr>
      <w:tr w:rsidR="00EF6975" w:rsidRPr="00EF6975" w14:paraId="24EA247C" w14:textId="77777777" w:rsidTr="00EF6975">
        <w:tc>
          <w:tcPr>
            <w:tcW w:w="2195" w:type="dxa"/>
            <w:vAlign w:val="bottom"/>
          </w:tcPr>
          <w:p w14:paraId="7B05B47D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Grand Manan</w:t>
            </w:r>
          </w:p>
        </w:tc>
      </w:tr>
      <w:tr w:rsidR="00EF6975" w:rsidRPr="00EF6975" w14:paraId="52022B09" w14:textId="77777777" w:rsidTr="00EF6975">
        <w:tc>
          <w:tcPr>
            <w:tcW w:w="2195" w:type="dxa"/>
            <w:vAlign w:val="bottom"/>
          </w:tcPr>
          <w:p w14:paraId="4586734D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Hampton</w:t>
            </w:r>
          </w:p>
        </w:tc>
      </w:tr>
      <w:tr w:rsidR="00EF6975" w:rsidRPr="00EF6975" w14:paraId="1F26F7DC" w14:textId="77777777" w:rsidTr="00EF6975">
        <w:tc>
          <w:tcPr>
            <w:tcW w:w="2195" w:type="dxa"/>
            <w:vAlign w:val="bottom"/>
          </w:tcPr>
          <w:p w14:paraId="3839DED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Maces Bay</w:t>
            </w:r>
          </w:p>
        </w:tc>
      </w:tr>
      <w:tr w:rsidR="00EF6975" w:rsidRPr="00EF6975" w14:paraId="4935789E" w14:textId="77777777" w:rsidTr="00EF6975">
        <w:tc>
          <w:tcPr>
            <w:tcW w:w="2195" w:type="dxa"/>
            <w:vAlign w:val="bottom"/>
          </w:tcPr>
          <w:p w14:paraId="34FF8246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Norton</w:t>
            </w:r>
          </w:p>
        </w:tc>
      </w:tr>
      <w:tr w:rsidR="00EF6975" w:rsidRPr="00EF6975" w14:paraId="60207705" w14:textId="77777777" w:rsidTr="00EF6975">
        <w:tc>
          <w:tcPr>
            <w:tcW w:w="2195" w:type="dxa"/>
            <w:vAlign w:val="bottom"/>
          </w:tcPr>
          <w:p w14:paraId="2361204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Petitcodiac</w:t>
            </w:r>
          </w:p>
        </w:tc>
      </w:tr>
      <w:tr w:rsidR="00EF6975" w:rsidRPr="00EF6975" w14:paraId="30EDE2A2" w14:textId="77777777" w:rsidTr="00EF6975">
        <w:tc>
          <w:tcPr>
            <w:tcW w:w="2195" w:type="dxa"/>
            <w:vAlign w:val="bottom"/>
          </w:tcPr>
          <w:p w14:paraId="5882E73D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Rothesay</w:t>
            </w:r>
          </w:p>
        </w:tc>
      </w:tr>
      <w:tr w:rsidR="00EF6975" w:rsidRPr="00EF6975" w14:paraId="1F44552B" w14:textId="77777777" w:rsidTr="00EF6975">
        <w:tc>
          <w:tcPr>
            <w:tcW w:w="2195" w:type="dxa"/>
            <w:vAlign w:val="bottom"/>
          </w:tcPr>
          <w:p w14:paraId="311C21AA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Saint John</w:t>
            </w:r>
          </w:p>
        </w:tc>
      </w:tr>
      <w:tr w:rsidR="00EF6975" w:rsidRPr="00EF6975" w14:paraId="37E70556" w14:textId="77777777" w:rsidTr="00EF6975">
        <w:tc>
          <w:tcPr>
            <w:tcW w:w="2195" w:type="dxa"/>
            <w:vAlign w:val="bottom"/>
          </w:tcPr>
          <w:p w14:paraId="1B84275E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Salisbury</w:t>
            </w:r>
          </w:p>
        </w:tc>
      </w:tr>
      <w:tr w:rsidR="00EF6975" w:rsidRPr="00EF6975" w14:paraId="6F7AFC1D" w14:textId="77777777" w:rsidTr="00EF6975">
        <w:tc>
          <w:tcPr>
            <w:tcW w:w="2195" w:type="dxa"/>
            <w:vAlign w:val="bottom"/>
          </w:tcPr>
          <w:p w14:paraId="34C472F5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Springfield</w:t>
            </w:r>
          </w:p>
        </w:tc>
      </w:tr>
      <w:tr w:rsidR="00EF6975" w:rsidRPr="00EF6975" w14:paraId="5A6A00AF" w14:textId="77777777" w:rsidTr="00EF6975">
        <w:tc>
          <w:tcPr>
            <w:tcW w:w="2195" w:type="dxa"/>
            <w:vAlign w:val="bottom"/>
          </w:tcPr>
          <w:p w14:paraId="5C26DFF1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Andrews</w:t>
            </w:r>
          </w:p>
        </w:tc>
      </w:tr>
      <w:tr w:rsidR="00EF6975" w:rsidRPr="00EF6975" w14:paraId="049CB836" w14:textId="77777777" w:rsidTr="00EF6975">
        <w:tc>
          <w:tcPr>
            <w:tcW w:w="2195" w:type="dxa"/>
            <w:vAlign w:val="bottom"/>
          </w:tcPr>
          <w:p w14:paraId="2FA91523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George</w:t>
            </w:r>
          </w:p>
        </w:tc>
      </w:tr>
      <w:tr w:rsidR="00EF6975" w:rsidRPr="00EF6975" w14:paraId="1FDEA156" w14:textId="77777777" w:rsidTr="00EF6975">
        <w:tc>
          <w:tcPr>
            <w:tcW w:w="2195" w:type="dxa"/>
            <w:vAlign w:val="bottom"/>
          </w:tcPr>
          <w:p w14:paraId="0B539097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Martins</w:t>
            </w:r>
          </w:p>
        </w:tc>
      </w:tr>
      <w:tr w:rsidR="00EF6975" w:rsidRPr="00EF6975" w14:paraId="4460C8FC" w14:textId="77777777" w:rsidTr="00EF6975">
        <w:tc>
          <w:tcPr>
            <w:tcW w:w="2195" w:type="dxa"/>
            <w:vAlign w:val="bottom"/>
          </w:tcPr>
          <w:p w14:paraId="3AE027B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St. Stephen</w:t>
            </w:r>
          </w:p>
        </w:tc>
      </w:tr>
      <w:tr w:rsidR="00EF6975" w:rsidRPr="00EF6975" w14:paraId="5D350455" w14:textId="77777777" w:rsidTr="00EF6975">
        <w:tc>
          <w:tcPr>
            <w:tcW w:w="2195" w:type="dxa"/>
            <w:vAlign w:val="bottom"/>
          </w:tcPr>
          <w:p w14:paraId="500B5126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Summerville</w:t>
            </w:r>
          </w:p>
        </w:tc>
      </w:tr>
      <w:tr w:rsidR="00EF6975" w:rsidRPr="00EF6975" w14:paraId="0F011E5F" w14:textId="77777777" w:rsidTr="00EF6975">
        <w:tc>
          <w:tcPr>
            <w:tcW w:w="2195" w:type="dxa"/>
            <w:vAlign w:val="bottom"/>
          </w:tcPr>
          <w:p w14:paraId="55F40F70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Sussex</w:t>
            </w:r>
          </w:p>
        </w:tc>
      </w:tr>
      <w:tr w:rsidR="00EF6975" w:rsidRPr="00EF6975" w14:paraId="71C0EDF7" w14:textId="77777777" w:rsidTr="00EF6975">
        <w:tc>
          <w:tcPr>
            <w:tcW w:w="2195" w:type="dxa"/>
            <w:vAlign w:val="bottom"/>
          </w:tcPr>
          <w:p w14:paraId="38F6DE75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Welsford</w:t>
            </w:r>
          </w:p>
        </w:tc>
      </w:tr>
      <w:tr w:rsidR="00EF6975" w:rsidRPr="00EF6975" w14:paraId="7A63789A" w14:textId="77777777" w:rsidTr="00EF6975">
        <w:tc>
          <w:tcPr>
            <w:tcW w:w="2195" w:type="dxa"/>
            <w:vAlign w:val="bottom"/>
          </w:tcPr>
          <w:p w14:paraId="1176172B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Youngs Cove Road</w:t>
            </w:r>
          </w:p>
        </w:tc>
      </w:tr>
      <w:tr w:rsidR="00EF6975" w:rsidRPr="00EF6975" w14:paraId="5FAC3896" w14:textId="77777777" w:rsidTr="00EF6975">
        <w:tc>
          <w:tcPr>
            <w:tcW w:w="2195" w:type="dxa"/>
            <w:vAlign w:val="bottom"/>
          </w:tcPr>
          <w:p w14:paraId="55169DAF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Albert</w:t>
            </w:r>
          </w:p>
        </w:tc>
      </w:tr>
      <w:tr w:rsidR="00EF6975" w:rsidRPr="00EF6975" w14:paraId="4172A4FD" w14:textId="77777777" w:rsidTr="00EF6975">
        <w:tc>
          <w:tcPr>
            <w:tcW w:w="2195" w:type="dxa"/>
            <w:vAlign w:val="bottom"/>
          </w:tcPr>
          <w:p w14:paraId="6D03AF8D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Alma</w:t>
            </w:r>
          </w:p>
        </w:tc>
      </w:tr>
      <w:tr w:rsidR="00EF6975" w:rsidRPr="00EF6975" w14:paraId="69C559D9" w14:textId="77777777" w:rsidTr="00EF6975">
        <w:tc>
          <w:tcPr>
            <w:tcW w:w="2195" w:type="dxa"/>
            <w:vAlign w:val="bottom"/>
          </w:tcPr>
          <w:p w14:paraId="663065FC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Hillsborough</w:t>
            </w:r>
          </w:p>
        </w:tc>
      </w:tr>
      <w:tr w:rsidR="00EF6975" w:rsidRPr="00EF6975" w14:paraId="5F9078E0" w14:textId="77777777" w:rsidTr="00EF6975">
        <w:tc>
          <w:tcPr>
            <w:tcW w:w="2195" w:type="dxa"/>
            <w:vAlign w:val="bottom"/>
          </w:tcPr>
          <w:p w14:paraId="5314C9D9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Moncton</w:t>
            </w:r>
          </w:p>
        </w:tc>
      </w:tr>
      <w:tr w:rsidR="00EF6975" w:rsidRPr="00EF6975" w14:paraId="18F3D9FB" w14:textId="77777777" w:rsidTr="00EF6975">
        <w:tc>
          <w:tcPr>
            <w:tcW w:w="2195" w:type="dxa"/>
            <w:vAlign w:val="bottom"/>
          </w:tcPr>
          <w:p w14:paraId="447A0A8F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Port Elgin</w:t>
            </w:r>
          </w:p>
        </w:tc>
      </w:tr>
      <w:tr w:rsidR="00EF6975" w:rsidRPr="00EF6975" w14:paraId="7C9DF78B" w14:textId="77777777" w:rsidTr="00EF6975">
        <w:tc>
          <w:tcPr>
            <w:tcW w:w="2195" w:type="dxa"/>
            <w:vAlign w:val="bottom"/>
          </w:tcPr>
          <w:p w14:paraId="5DFE3757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Chipman</w:t>
            </w:r>
          </w:p>
        </w:tc>
      </w:tr>
      <w:tr w:rsidR="00EF6975" w:rsidRPr="00EF6975" w14:paraId="3A34EFD4" w14:textId="77777777" w:rsidTr="00EF6975">
        <w:tc>
          <w:tcPr>
            <w:tcW w:w="2195" w:type="dxa"/>
            <w:vAlign w:val="bottom"/>
          </w:tcPr>
          <w:p w14:paraId="532E81C3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Fredericton</w:t>
            </w:r>
          </w:p>
        </w:tc>
      </w:tr>
      <w:tr w:rsidR="00EF6975" w:rsidRPr="00EF6975" w14:paraId="33B70646" w14:textId="77777777" w:rsidTr="00EF6975">
        <w:tc>
          <w:tcPr>
            <w:tcW w:w="2195" w:type="dxa"/>
            <w:vAlign w:val="bottom"/>
          </w:tcPr>
          <w:p w14:paraId="1BE177A0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Fredericton Junction</w:t>
            </w:r>
          </w:p>
        </w:tc>
      </w:tr>
      <w:tr w:rsidR="00EF6975" w:rsidRPr="00EF6975" w14:paraId="1BFCAC7E" w14:textId="77777777" w:rsidTr="00EF6975">
        <w:tc>
          <w:tcPr>
            <w:tcW w:w="2195" w:type="dxa"/>
            <w:vAlign w:val="bottom"/>
          </w:tcPr>
          <w:p w14:paraId="0F787A68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Gagetown</w:t>
            </w:r>
          </w:p>
        </w:tc>
      </w:tr>
      <w:tr w:rsidR="00EF6975" w:rsidRPr="00EF6975" w14:paraId="014B508D" w14:textId="77777777" w:rsidTr="00EF6975">
        <w:tc>
          <w:tcPr>
            <w:tcW w:w="2195" w:type="dxa"/>
            <w:vAlign w:val="bottom"/>
          </w:tcPr>
          <w:p w14:paraId="477226E7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Harvey Station</w:t>
            </w:r>
          </w:p>
        </w:tc>
      </w:tr>
      <w:tr w:rsidR="00EF6975" w:rsidRPr="00EF6975" w14:paraId="49C81C73" w14:textId="77777777" w:rsidTr="00EF6975">
        <w:tc>
          <w:tcPr>
            <w:tcW w:w="2195" w:type="dxa"/>
            <w:vAlign w:val="bottom"/>
          </w:tcPr>
          <w:p w14:paraId="415DE287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Hoyt</w:t>
            </w:r>
          </w:p>
        </w:tc>
      </w:tr>
      <w:tr w:rsidR="00EF6975" w:rsidRPr="00EF6975" w14:paraId="7D4A416D" w14:textId="77777777" w:rsidTr="00EF6975">
        <w:tc>
          <w:tcPr>
            <w:tcW w:w="2195" w:type="dxa"/>
            <w:vAlign w:val="bottom"/>
          </w:tcPr>
          <w:p w14:paraId="1CF8510E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Keswick</w:t>
            </w:r>
          </w:p>
        </w:tc>
      </w:tr>
      <w:tr w:rsidR="00EF6975" w:rsidRPr="00EF6975" w14:paraId="7EEC7D87" w14:textId="77777777" w:rsidTr="00EF6975">
        <w:tc>
          <w:tcPr>
            <w:tcW w:w="2195" w:type="dxa"/>
            <w:vAlign w:val="bottom"/>
          </w:tcPr>
          <w:p w14:paraId="24BCED68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McAdam</w:t>
            </w:r>
          </w:p>
        </w:tc>
      </w:tr>
      <w:tr w:rsidR="00EF6975" w:rsidRPr="00EF6975" w14:paraId="6754FD0B" w14:textId="77777777" w:rsidTr="00EF6975">
        <w:tc>
          <w:tcPr>
            <w:tcW w:w="2195" w:type="dxa"/>
            <w:vAlign w:val="bottom"/>
          </w:tcPr>
          <w:p w14:paraId="5198A093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Meductic</w:t>
            </w:r>
          </w:p>
        </w:tc>
      </w:tr>
      <w:tr w:rsidR="00EF6975" w:rsidRPr="00EF6975" w14:paraId="3D5822AD" w14:textId="77777777" w:rsidTr="00EF6975">
        <w:tc>
          <w:tcPr>
            <w:tcW w:w="2195" w:type="dxa"/>
            <w:vAlign w:val="bottom"/>
          </w:tcPr>
          <w:p w14:paraId="427C8070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Millville</w:t>
            </w:r>
          </w:p>
        </w:tc>
      </w:tr>
      <w:tr w:rsidR="00EF6975" w:rsidRPr="00EF6975" w14:paraId="53CB27A6" w14:textId="77777777" w:rsidTr="00EF6975">
        <w:tc>
          <w:tcPr>
            <w:tcW w:w="2195" w:type="dxa"/>
            <w:vAlign w:val="bottom"/>
          </w:tcPr>
          <w:p w14:paraId="79372674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Minto</w:t>
            </w:r>
          </w:p>
        </w:tc>
      </w:tr>
      <w:tr w:rsidR="00EF6975" w:rsidRPr="00EF6975" w14:paraId="74D15E85" w14:textId="77777777" w:rsidTr="00EF6975">
        <w:tc>
          <w:tcPr>
            <w:tcW w:w="2195" w:type="dxa"/>
            <w:vAlign w:val="bottom"/>
          </w:tcPr>
          <w:p w14:paraId="33BD00B8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Nackawic</w:t>
            </w:r>
          </w:p>
        </w:tc>
      </w:tr>
      <w:tr w:rsidR="00EF6975" w:rsidRPr="00EF6975" w14:paraId="4314E804" w14:textId="77777777" w:rsidTr="00EF6975">
        <w:tc>
          <w:tcPr>
            <w:tcW w:w="2195" w:type="dxa"/>
            <w:vAlign w:val="bottom"/>
          </w:tcPr>
          <w:p w14:paraId="1F23FFB1" w14:textId="77777777" w:rsidR="00EF6975" w:rsidRPr="00EF6975" w:rsidRDefault="00EF6975" w:rsidP="00EF6975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EF6975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Oromocto</w:t>
            </w:r>
          </w:p>
        </w:tc>
      </w:tr>
    </w:tbl>
    <w:p w14:paraId="1415BC92" w14:textId="77777777" w:rsidR="008D5E19" w:rsidRDefault="008D5E19" w:rsidP="00C029A2">
      <w:pPr>
        <w:ind w:left="426" w:hanging="426"/>
        <w:rPr>
          <w:rFonts w:ascii="Arial" w:hAnsi="Arial" w:cs="Arial"/>
          <w:sz w:val="22"/>
          <w:szCs w:val="22"/>
        </w:rPr>
      </w:pPr>
    </w:p>
    <w:sectPr w:rsidR="008D5E19" w:rsidSect="008D5E19">
      <w:type w:val="continuous"/>
      <w:pgSz w:w="12240" w:h="15840"/>
      <w:pgMar w:top="851" w:right="1467" w:bottom="1440" w:left="1440" w:header="708" w:footer="708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6B4"/>
    <w:multiLevelType w:val="multilevel"/>
    <w:tmpl w:val="EE305A90"/>
    <w:lvl w:ilvl="0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30163"/>
    <w:multiLevelType w:val="hybridMultilevel"/>
    <w:tmpl w:val="C0228E20"/>
    <w:lvl w:ilvl="0" w:tplc="86DE6806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2857FB"/>
    <w:multiLevelType w:val="hybridMultilevel"/>
    <w:tmpl w:val="0D862586"/>
    <w:lvl w:ilvl="0" w:tplc="B4580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DE7CDD"/>
    <w:multiLevelType w:val="hybridMultilevel"/>
    <w:tmpl w:val="EE305A90"/>
    <w:lvl w:ilvl="0" w:tplc="9A68202C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A4"/>
    <w:rsid w:val="000041D4"/>
    <w:rsid w:val="000238B0"/>
    <w:rsid w:val="00023B55"/>
    <w:rsid w:val="00025BD1"/>
    <w:rsid w:val="00040875"/>
    <w:rsid w:val="00054B36"/>
    <w:rsid w:val="00067941"/>
    <w:rsid w:val="00090E45"/>
    <w:rsid w:val="000E01E3"/>
    <w:rsid w:val="001013A8"/>
    <w:rsid w:val="00114592"/>
    <w:rsid w:val="00122ADB"/>
    <w:rsid w:val="001461A4"/>
    <w:rsid w:val="001575B8"/>
    <w:rsid w:val="00164174"/>
    <w:rsid w:val="00187733"/>
    <w:rsid w:val="00193D83"/>
    <w:rsid w:val="001C4E3F"/>
    <w:rsid w:val="001F46DF"/>
    <w:rsid w:val="001F7F61"/>
    <w:rsid w:val="00214E89"/>
    <w:rsid w:val="00215CC7"/>
    <w:rsid w:val="00256BF6"/>
    <w:rsid w:val="0027614E"/>
    <w:rsid w:val="002A13BB"/>
    <w:rsid w:val="002B29AB"/>
    <w:rsid w:val="002B2F91"/>
    <w:rsid w:val="002E4B93"/>
    <w:rsid w:val="00312F61"/>
    <w:rsid w:val="00314C3B"/>
    <w:rsid w:val="0033075D"/>
    <w:rsid w:val="00350880"/>
    <w:rsid w:val="00354C0F"/>
    <w:rsid w:val="00362A37"/>
    <w:rsid w:val="00381F94"/>
    <w:rsid w:val="003A6E50"/>
    <w:rsid w:val="003B2188"/>
    <w:rsid w:val="003B6D93"/>
    <w:rsid w:val="003E6491"/>
    <w:rsid w:val="003F0E04"/>
    <w:rsid w:val="00413190"/>
    <w:rsid w:val="00416A94"/>
    <w:rsid w:val="004328A4"/>
    <w:rsid w:val="00442E14"/>
    <w:rsid w:val="0044563D"/>
    <w:rsid w:val="00462684"/>
    <w:rsid w:val="00473149"/>
    <w:rsid w:val="0048223C"/>
    <w:rsid w:val="004A1F42"/>
    <w:rsid w:val="004A6F46"/>
    <w:rsid w:val="004B7FE1"/>
    <w:rsid w:val="004C165E"/>
    <w:rsid w:val="004F705E"/>
    <w:rsid w:val="00502535"/>
    <w:rsid w:val="00512A49"/>
    <w:rsid w:val="0055289E"/>
    <w:rsid w:val="00572B3A"/>
    <w:rsid w:val="00573AD7"/>
    <w:rsid w:val="00576F64"/>
    <w:rsid w:val="005778E4"/>
    <w:rsid w:val="00590954"/>
    <w:rsid w:val="005929AE"/>
    <w:rsid w:val="005A5E8F"/>
    <w:rsid w:val="005F77CD"/>
    <w:rsid w:val="005F7D4A"/>
    <w:rsid w:val="006012D9"/>
    <w:rsid w:val="00653E22"/>
    <w:rsid w:val="00672981"/>
    <w:rsid w:val="0067380E"/>
    <w:rsid w:val="006C6011"/>
    <w:rsid w:val="006D145C"/>
    <w:rsid w:val="006D5819"/>
    <w:rsid w:val="007271B6"/>
    <w:rsid w:val="00754513"/>
    <w:rsid w:val="00760061"/>
    <w:rsid w:val="007866D4"/>
    <w:rsid w:val="007D04B4"/>
    <w:rsid w:val="007F3235"/>
    <w:rsid w:val="007F70B9"/>
    <w:rsid w:val="00806BC1"/>
    <w:rsid w:val="00827782"/>
    <w:rsid w:val="008326D8"/>
    <w:rsid w:val="0084611A"/>
    <w:rsid w:val="008B4FCE"/>
    <w:rsid w:val="008C7F3E"/>
    <w:rsid w:val="008D029F"/>
    <w:rsid w:val="008D1F2B"/>
    <w:rsid w:val="008D5E19"/>
    <w:rsid w:val="00905508"/>
    <w:rsid w:val="009126AB"/>
    <w:rsid w:val="00924E7C"/>
    <w:rsid w:val="00937B54"/>
    <w:rsid w:val="00941743"/>
    <w:rsid w:val="009922AA"/>
    <w:rsid w:val="009967F7"/>
    <w:rsid w:val="009A17A2"/>
    <w:rsid w:val="009D0076"/>
    <w:rsid w:val="009D4890"/>
    <w:rsid w:val="009E6CE8"/>
    <w:rsid w:val="00A14BC3"/>
    <w:rsid w:val="00A22154"/>
    <w:rsid w:val="00A277A5"/>
    <w:rsid w:val="00A40B00"/>
    <w:rsid w:val="00A71667"/>
    <w:rsid w:val="00A85EC6"/>
    <w:rsid w:val="00A9793B"/>
    <w:rsid w:val="00AA79B1"/>
    <w:rsid w:val="00AB4648"/>
    <w:rsid w:val="00AD4EFC"/>
    <w:rsid w:val="00AD7E57"/>
    <w:rsid w:val="00AE60D8"/>
    <w:rsid w:val="00AF09B5"/>
    <w:rsid w:val="00B07382"/>
    <w:rsid w:val="00B24B09"/>
    <w:rsid w:val="00B32D75"/>
    <w:rsid w:val="00B35003"/>
    <w:rsid w:val="00B503E7"/>
    <w:rsid w:val="00B6087E"/>
    <w:rsid w:val="00B64043"/>
    <w:rsid w:val="00BB5A29"/>
    <w:rsid w:val="00BC5D8B"/>
    <w:rsid w:val="00BC7C79"/>
    <w:rsid w:val="00C029A2"/>
    <w:rsid w:val="00C17E84"/>
    <w:rsid w:val="00C74506"/>
    <w:rsid w:val="00C9534D"/>
    <w:rsid w:val="00CA5C8B"/>
    <w:rsid w:val="00CB4DDC"/>
    <w:rsid w:val="00CD5785"/>
    <w:rsid w:val="00CE4986"/>
    <w:rsid w:val="00CF7AB8"/>
    <w:rsid w:val="00D47964"/>
    <w:rsid w:val="00D718A4"/>
    <w:rsid w:val="00D85307"/>
    <w:rsid w:val="00DC39DA"/>
    <w:rsid w:val="00DC62B8"/>
    <w:rsid w:val="00E16E91"/>
    <w:rsid w:val="00E31608"/>
    <w:rsid w:val="00E81360"/>
    <w:rsid w:val="00E81B18"/>
    <w:rsid w:val="00E94C88"/>
    <w:rsid w:val="00EC6862"/>
    <w:rsid w:val="00ED101B"/>
    <w:rsid w:val="00EF55FC"/>
    <w:rsid w:val="00EF6975"/>
    <w:rsid w:val="00F04A31"/>
    <w:rsid w:val="00F15BD6"/>
    <w:rsid w:val="00F21B22"/>
    <w:rsid w:val="00F368DE"/>
    <w:rsid w:val="00F63350"/>
    <w:rsid w:val="00FB09E6"/>
    <w:rsid w:val="00FC0D44"/>
    <w:rsid w:val="00FC2786"/>
    <w:rsid w:val="00FD5199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1F31E9"/>
  <w15:docId w15:val="{B673E692-B40A-40EB-9D74-865F280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A4"/>
    <w:rPr>
      <w:rFonts w:cs="Cambr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E64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D10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6491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7F7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0B9"/>
    <w:rPr>
      <w:rFonts w:ascii="Tahoma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nhideWhenUsed/>
    <w:rsid w:val="00D71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328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8A4"/>
    <w:rPr>
      <w:rFonts w:cs="Cambri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8A4"/>
    <w:rPr>
      <w:rFonts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na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836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NPA 709 Planning Letter</vt:lpstr>
    </vt:vector>
  </TitlesOfParts>
  <Company>SAIC Canada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NPA 709 Planning Letter</dc:title>
  <dc:creator>Fiona Clegg</dc:creator>
  <cp:lastModifiedBy>David Comrie</cp:lastModifiedBy>
  <cp:revision>7</cp:revision>
  <cp:lastPrinted>2017-02-16T15:25:00Z</cp:lastPrinted>
  <dcterms:created xsi:type="dcterms:W3CDTF">2018-09-05T14:33:00Z</dcterms:created>
  <dcterms:modified xsi:type="dcterms:W3CDTF">2018-09-06T19:59:00Z</dcterms:modified>
</cp:coreProperties>
</file>