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B28D" w14:textId="1F9C6208" w:rsidR="000D2B19" w:rsidRPr="000D2B19" w:rsidRDefault="000D2B19" w:rsidP="000D2B19">
      <w:r w:rsidRPr="000D2B19">
        <w:rPr>
          <w:b/>
          <w:bCs/>
        </w:rPr>
        <w:t>CRTC INTERCONNECTION STEERING COMMITTEE</w:t>
      </w:r>
    </w:p>
    <w:p w14:paraId="04E17E8D" w14:textId="77777777" w:rsidR="000D2B19" w:rsidRPr="000D2B19" w:rsidRDefault="000D2B19" w:rsidP="000D2B19">
      <w:r w:rsidRPr="000D2B19">
        <w:rPr>
          <w:b/>
          <w:bCs/>
          <w:u w:val="single"/>
        </w:rPr>
        <w:t>TIF REPORT</w:t>
      </w:r>
    </w:p>
    <w:p w14:paraId="59C0AAF5" w14:textId="3E578C6D" w:rsidR="000D2B19" w:rsidRPr="000D2B19" w:rsidRDefault="000D2B19" w:rsidP="000D2B19">
      <w:r w:rsidRPr="000D2B19">
        <w:rPr>
          <w:b/>
          <w:bCs/>
        </w:rPr>
        <w:t>Date Submitted:             </w:t>
      </w:r>
      <w:r w:rsidR="008A7DC8">
        <w:rPr>
          <w:b/>
          <w:bCs/>
        </w:rPr>
        <w:t>2 April 2026</w:t>
      </w:r>
      <w:r w:rsidRPr="000D2B19">
        <w:rPr>
          <w:b/>
          <w:bCs/>
        </w:rPr>
        <w:t>    </w:t>
      </w:r>
    </w:p>
    <w:p w14:paraId="4F6B5AA3" w14:textId="09DD9D0B" w:rsidR="000D2B19" w:rsidRPr="000D2B19" w:rsidRDefault="000D2B19" w:rsidP="000D2B19">
      <w:r w:rsidRPr="000D2B19">
        <w:rPr>
          <w:b/>
          <w:bCs/>
        </w:rPr>
        <w:t>WORKING GROUP:</w:t>
      </w:r>
      <w:r>
        <w:rPr>
          <w:b/>
          <w:bCs/>
        </w:rPr>
        <w:tab/>
        <w:t>CSCN</w:t>
      </w:r>
    </w:p>
    <w:p w14:paraId="6480ECB0" w14:textId="69D9EFE0" w:rsidR="000D2B19" w:rsidRPr="000D2B19" w:rsidRDefault="000D2B19" w:rsidP="000D2B19">
      <w:r w:rsidRPr="00CD0FBA">
        <w:rPr>
          <w:b/>
          <w:bCs/>
        </w:rPr>
        <w:t>REPORT #:               </w:t>
      </w:r>
      <w:r w:rsidR="006F4FBC" w:rsidRPr="00CD0FBA">
        <w:rPr>
          <w:b/>
          <w:bCs/>
        </w:rPr>
        <w:t>160</w:t>
      </w:r>
      <w:r w:rsidR="006F4FBC">
        <w:rPr>
          <w:b/>
          <w:bCs/>
        </w:rPr>
        <w:t>C</w:t>
      </w:r>
      <w:r w:rsidR="006F4FBC" w:rsidRPr="00CD0FBA">
        <w:rPr>
          <w:b/>
          <w:bCs/>
        </w:rPr>
        <w:t xml:space="preserve">                                                           </w:t>
      </w:r>
      <w:r w:rsidRPr="00CD0FBA">
        <w:rPr>
          <w:b/>
          <w:bCs/>
        </w:rPr>
        <w:t>File ID:</w:t>
      </w:r>
      <w:r w:rsidR="0017063C">
        <w:rPr>
          <w:b/>
          <w:bCs/>
        </w:rPr>
        <w:t xml:space="preserve">  </w:t>
      </w:r>
      <w:r w:rsidR="006F4FBC" w:rsidRPr="00CD0FBA">
        <w:rPr>
          <w:b/>
          <w:bCs/>
        </w:rPr>
        <w:t>CNRE160</w:t>
      </w:r>
      <w:r w:rsidR="006F4FBC">
        <w:rPr>
          <w:b/>
          <w:bCs/>
        </w:rPr>
        <w:t>C</w:t>
      </w:r>
    </w:p>
    <w:p w14:paraId="41051519" w14:textId="1598E1EC" w:rsidR="000D2B19" w:rsidRPr="000D2B19" w:rsidRDefault="000D2B19" w:rsidP="000D2B19">
      <w:r w:rsidRPr="000D2B19">
        <w:rPr>
          <w:b/>
          <w:bCs/>
        </w:rPr>
        <w:t>REPORT TITLE</w:t>
      </w:r>
      <w:r w:rsidRPr="000D2B19">
        <w:t>:</w:t>
      </w:r>
      <w:r w:rsidR="0017063C">
        <w:t xml:space="preserve">  TBP Readiness Affirmation Form and Recommendations to Facilitate the Rollout of Thousands-Block Pooling</w:t>
      </w:r>
    </w:p>
    <w:p w14:paraId="7B072EE7" w14:textId="576F2B40" w:rsidR="000D2B19" w:rsidRPr="000D2B19" w:rsidRDefault="000D2B19" w:rsidP="000D2B19">
      <w:r w:rsidRPr="000D2B19">
        <w:rPr>
          <w:b/>
          <w:bCs/>
        </w:rPr>
        <w:t>OUTCOME: CONSENSUS</w:t>
      </w:r>
    </w:p>
    <w:p w14:paraId="5D9F576A" w14:textId="029FC918" w:rsidR="000D2B19" w:rsidRPr="000D2B19" w:rsidRDefault="000D2B19" w:rsidP="000D2B19">
      <w:r w:rsidRPr="000D2B19">
        <w:rPr>
          <w:b/>
          <w:bCs/>
        </w:rPr>
        <w:t>RELATED TASK(s) #:</w:t>
      </w:r>
      <w:r w:rsidR="0017063C">
        <w:rPr>
          <w:b/>
          <w:bCs/>
        </w:rPr>
        <w:t xml:space="preserve">  117, 118, 119, 120, </w:t>
      </w:r>
      <w:r w:rsidR="007729BF">
        <w:rPr>
          <w:b/>
          <w:bCs/>
        </w:rPr>
        <w:t>125</w:t>
      </w:r>
    </w:p>
    <w:p w14:paraId="44E97551" w14:textId="1306B022" w:rsidR="000D2B19" w:rsidRDefault="000D2B19" w:rsidP="000D2B19">
      <w:pPr>
        <w:rPr>
          <w:b/>
          <w:bCs/>
        </w:rPr>
      </w:pPr>
      <w:r w:rsidRPr="000D2B19">
        <w:rPr>
          <w:b/>
          <w:bCs/>
        </w:rPr>
        <w:t>BACKGROUND:</w:t>
      </w:r>
      <w:r w:rsidR="007729BF">
        <w:rPr>
          <w:b/>
          <w:bCs/>
        </w:rPr>
        <w:t xml:space="preserve">  </w:t>
      </w:r>
    </w:p>
    <w:p w14:paraId="3F9E7A6B" w14:textId="08DA4705" w:rsidR="00B97E8A" w:rsidRDefault="00B97E8A" w:rsidP="000D2B19">
      <w:r>
        <w:t xml:space="preserve">To facilitate the phased implementation of Thousands-Block Pooling (TBP), the CSCN </w:t>
      </w:r>
      <w:r w:rsidR="00D81FF4">
        <w:t xml:space="preserve">considered what </w:t>
      </w:r>
      <w:r w:rsidR="00816C80">
        <w:t xml:space="preserve">measures would be required to protect the </w:t>
      </w:r>
      <w:r w:rsidR="00134161" w:rsidRPr="00134161">
        <w:t xml:space="preserve">integrity and reliability of </w:t>
      </w:r>
      <w:r w:rsidR="00816C80">
        <w:t xml:space="preserve">Canadian </w:t>
      </w:r>
      <w:r w:rsidR="00134161">
        <w:t>public switched telephone network (</w:t>
      </w:r>
      <w:r w:rsidR="00816C80">
        <w:t>PSTN</w:t>
      </w:r>
      <w:r w:rsidR="00134161">
        <w:t>)</w:t>
      </w:r>
      <w:r w:rsidR="000B7436">
        <w:t>.</w:t>
      </w:r>
    </w:p>
    <w:p w14:paraId="56C1FB77" w14:textId="381E848F" w:rsidR="00134161" w:rsidRPr="00B97E8A" w:rsidRDefault="00134161" w:rsidP="000D2B19">
      <w:r>
        <w:t>In Telecom Decision CRTC 2025-321, the Commission directed the CSCN to develop a schedule for the phased implementation of TBP by Exchange Area, with the first Exchange Area transitioning to TBP by 28 July 2026 and the final Exchange Area transitioning by 28 July 2027.</w:t>
      </w:r>
    </w:p>
    <w:p w14:paraId="4B468F46" w14:textId="77777777" w:rsidR="000D2B19" w:rsidRDefault="000D2B19" w:rsidP="000D2B19">
      <w:pPr>
        <w:rPr>
          <w:b/>
          <w:bCs/>
        </w:rPr>
      </w:pPr>
      <w:r w:rsidRPr="000D2B19">
        <w:rPr>
          <w:b/>
          <w:bCs/>
        </w:rPr>
        <w:t>FACTORS:</w:t>
      </w:r>
    </w:p>
    <w:p w14:paraId="4A9DB26B" w14:textId="68BF96AF" w:rsidR="00134161" w:rsidRDefault="00134161" w:rsidP="000D2B19">
      <w:r w:rsidRPr="00C265F6">
        <w:t>All</w:t>
      </w:r>
      <w:r w:rsidRPr="006F4FBC">
        <w:rPr>
          <w:b/>
          <w:bCs/>
        </w:rPr>
        <w:t xml:space="preserve"> </w:t>
      </w:r>
      <w:r w:rsidRPr="00134161">
        <w:t>telecommunications service providers (TSPs) that perform Local Number Portability (LNP) database queries must ensure that such queries are performed against databases configured to receive Thousands-Block records prior to the rollout of TBP in the first Exchange Areas.</w:t>
      </w:r>
    </w:p>
    <w:p w14:paraId="43EBCFBC" w14:textId="7CFD18BC" w:rsidR="000B7436" w:rsidRPr="000B7436" w:rsidRDefault="00317DFC" w:rsidP="000D2B19">
      <w:r>
        <w:t xml:space="preserve">In addition, </w:t>
      </w:r>
      <w:r w:rsidR="000B7436" w:rsidRPr="000B7436">
        <w:t>Carri</w:t>
      </w:r>
      <w:r w:rsidR="000B7436">
        <w:t>ers</w:t>
      </w:r>
      <w:r w:rsidR="0051055A">
        <w:t xml:space="preserve"> </w:t>
      </w:r>
      <w:r w:rsidR="00134161">
        <w:t>operating in Exchange Areas where TBP will be implemented must</w:t>
      </w:r>
      <w:r w:rsidR="0051055A">
        <w:t xml:space="preserve"> </w:t>
      </w:r>
      <w:r w:rsidR="00000C40">
        <w:t xml:space="preserve">also </w:t>
      </w:r>
      <w:r w:rsidR="0051055A">
        <w:t xml:space="preserve">complete </w:t>
      </w:r>
      <w:r w:rsidR="00134161">
        <w:t xml:space="preserve">sufficient </w:t>
      </w:r>
      <w:r w:rsidR="002B5EF6">
        <w:t>production-</w:t>
      </w:r>
      <w:r w:rsidR="0051055A">
        <w:t xml:space="preserve">level testing </w:t>
      </w:r>
      <w:r w:rsidR="002C29E0">
        <w:t xml:space="preserve">prior to the launch of </w:t>
      </w:r>
      <w:r w:rsidR="00134161">
        <w:t>TBP. This testing</w:t>
      </w:r>
      <w:r w:rsidR="00313E03">
        <w:t xml:space="preserve"> </w:t>
      </w:r>
      <w:r w:rsidR="00134161">
        <w:t>is intended to</w:t>
      </w:r>
      <w:r w:rsidR="00313E03">
        <w:t xml:space="preserve"> prevent an </w:t>
      </w:r>
      <w:r w:rsidR="00134161">
        <w:t xml:space="preserve">increase </w:t>
      </w:r>
      <w:r w:rsidR="00313E03">
        <w:t xml:space="preserve">in </w:t>
      </w:r>
      <w:r w:rsidR="00134161">
        <w:t xml:space="preserve">the </w:t>
      </w:r>
      <w:r w:rsidR="00313E03">
        <w:t>double assignment</w:t>
      </w:r>
      <w:r w:rsidR="00AB5E98">
        <w:t xml:space="preserve"> of Telephone Numbers (TNs)</w:t>
      </w:r>
      <w:r w:rsidR="00313E03">
        <w:t xml:space="preserve"> to different customers</w:t>
      </w:r>
      <w:r w:rsidR="00134161">
        <w:t>, an issue that</w:t>
      </w:r>
      <w:r w:rsidR="00313E03">
        <w:t xml:space="preserve"> was observed in the US when </w:t>
      </w:r>
      <w:r w:rsidR="00134161">
        <w:t>TBP was initially introduced.</w:t>
      </w:r>
    </w:p>
    <w:p w14:paraId="6CF34B04" w14:textId="77777777" w:rsidR="000D2B19" w:rsidRDefault="000D2B19" w:rsidP="000D2B19">
      <w:pPr>
        <w:rPr>
          <w:b/>
          <w:bCs/>
        </w:rPr>
      </w:pPr>
      <w:r w:rsidRPr="000D2B19">
        <w:rPr>
          <w:b/>
          <w:bCs/>
        </w:rPr>
        <w:t>ALTERNATIVES:</w:t>
      </w:r>
    </w:p>
    <w:p w14:paraId="7348995F" w14:textId="207B2D82" w:rsidR="00C17051" w:rsidRPr="00262406" w:rsidRDefault="00134161" w:rsidP="000D2B19">
      <w:r>
        <w:t>One alternative would be to d</w:t>
      </w:r>
      <w:r w:rsidR="00C17051" w:rsidRPr="00262406">
        <w:t xml:space="preserve">elay the launch of TBP in </w:t>
      </w:r>
      <w:r>
        <w:t>any</w:t>
      </w:r>
      <w:r w:rsidRPr="00262406">
        <w:t xml:space="preserve"> </w:t>
      </w:r>
      <w:r w:rsidR="00C17051" w:rsidRPr="00262406">
        <w:t xml:space="preserve">Exchange </w:t>
      </w:r>
      <w:r w:rsidR="00DD5B0B">
        <w:t xml:space="preserve">Area </w:t>
      </w:r>
      <w:r w:rsidR="00C17051" w:rsidRPr="00262406">
        <w:t xml:space="preserve">where </w:t>
      </w:r>
      <w:r>
        <w:t>one</w:t>
      </w:r>
      <w:r w:rsidR="00C17051" w:rsidRPr="00262406">
        <w:t xml:space="preserve"> or more carriers</w:t>
      </w:r>
      <w:r w:rsidR="00262406" w:rsidRPr="00262406">
        <w:t xml:space="preserve"> are not ready </w:t>
      </w:r>
      <w:r>
        <w:t>to support</w:t>
      </w:r>
      <w:r w:rsidRPr="00262406">
        <w:t xml:space="preserve"> </w:t>
      </w:r>
      <w:r w:rsidR="00262406" w:rsidRPr="00262406">
        <w:t>TBP.</w:t>
      </w:r>
      <w:r w:rsidR="00262406">
        <w:t xml:space="preserve"> </w:t>
      </w:r>
      <w:r w:rsidR="00D5442F" w:rsidRPr="00D5442F">
        <w:t>Without polling of the industry, it</w:t>
      </w:r>
      <w:r w:rsidR="00D5442F">
        <w:t xml:space="preserve"> </w:t>
      </w:r>
      <w:r w:rsidR="00D5442F" w:rsidRPr="00D5442F">
        <w:t xml:space="preserve">is unknown whether </w:t>
      </w:r>
      <w:r>
        <w:t>this approach could significantly delay the</w:t>
      </w:r>
      <w:r w:rsidR="00262406">
        <w:t xml:space="preserve"> rollout of TBP for a prolonged period.</w:t>
      </w:r>
    </w:p>
    <w:p w14:paraId="4C91C972" w14:textId="77777777" w:rsidR="000D2B19" w:rsidRDefault="000D2B19" w:rsidP="000D2B19">
      <w:pPr>
        <w:rPr>
          <w:b/>
          <w:bCs/>
        </w:rPr>
      </w:pPr>
      <w:r w:rsidRPr="000D2B19">
        <w:rPr>
          <w:b/>
          <w:bCs/>
        </w:rPr>
        <w:t>ANALYSIS:</w:t>
      </w:r>
    </w:p>
    <w:p w14:paraId="1CCFD313" w14:textId="0BD29634" w:rsidR="00134161" w:rsidRDefault="000639A4" w:rsidP="0098180C">
      <w:r w:rsidRPr="000639A4">
        <w:rPr>
          <w:u w:val="single"/>
        </w:rPr>
        <w:t>Item 1:</w:t>
      </w:r>
      <w:r>
        <w:t xml:space="preserve"> </w:t>
      </w:r>
      <w:r w:rsidR="00134161">
        <w:t>LNP Query Readiness (applies to all TSPs involved with call routing)</w:t>
      </w:r>
    </w:p>
    <w:p w14:paraId="411327DE" w14:textId="073F4D2D" w:rsidR="0098180C" w:rsidRPr="003A2690" w:rsidRDefault="0098180C" w:rsidP="0098180C">
      <w:r w:rsidRPr="003A2690">
        <w:t xml:space="preserve">TSPs that do not operate as a LEC or Wireless Carrier in </w:t>
      </w:r>
      <w:r w:rsidR="00DD5B0B">
        <w:t>Exchange Areas</w:t>
      </w:r>
      <w:r w:rsidRPr="003A2690">
        <w:t xml:space="preserve"> where TBP </w:t>
      </w:r>
      <w:r w:rsidR="00134161">
        <w:t xml:space="preserve">is introduced </w:t>
      </w:r>
      <w:r w:rsidRPr="003A2690">
        <w:t xml:space="preserve">may </w:t>
      </w:r>
      <w:r w:rsidR="00134161">
        <w:t>nevertheless be required</w:t>
      </w:r>
      <w:r w:rsidRPr="003A2690">
        <w:t xml:space="preserve"> to perform LNP </w:t>
      </w:r>
      <w:r w:rsidR="00A07D36">
        <w:t>queries</w:t>
      </w:r>
      <w:r w:rsidR="00A07D36" w:rsidRPr="003A2690">
        <w:t xml:space="preserve"> </w:t>
      </w:r>
      <w:r w:rsidRPr="003A2690">
        <w:t xml:space="preserve">to </w:t>
      </w:r>
      <w:r w:rsidR="00134161">
        <w:t xml:space="preserve">route calls </w:t>
      </w:r>
      <w:r w:rsidRPr="003A2690">
        <w:t>in</w:t>
      </w:r>
      <w:r w:rsidR="00457982">
        <w:t>to</w:t>
      </w:r>
      <w:r w:rsidRPr="003A2690">
        <w:t xml:space="preserve"> th</w:t>
      </w:r>
      <w:r w:rsidR="00134161">
        <w:t>o</w:t>
      </w:r>
      <w:r w:rsidRPr="003A2690">
        <w:t xml:space="preserve">se </w:t>
      </w:r>
      <w:r w:rsidR="00DD5B0B">
        <w:t>Exchange Areas</w:t>
      </w:r>
      <w:r w:rsidRPr="003A2690">
        <w:t xml:space="preserve">.  </w:t>
      </w:r>
      <w:r w:rsidR="00134161">
        <w:t>If such queries are not performed against a TBP-enabled LNP database, calls may be misrouted</w:t>
      </w:r>
      <w:r w:rsidR="00D5442F">
        <w:t xml:space="preserve"> or fail to terminate</w:t>
      </w:r>
      <w:r w:rsidR="00134161">
        <w:t>. This could</w:t>
      </w:r>
      <w:r w:rsidRPr="003A2690">
        <w:t xml:space="preserve"> negatively </w:t>
      </w:r>
      <w:r w:rsidR="00134161">
        <w:t>affect</w:t>
      </w:r>
      <w:r w:rsidR="00134161" w:rsidRPr="003A2690">
        <w:t xml:space="preserve"> </w:t>
      </w:r>
      <w:r w:rsidRPr="003A2690">
        <w:t>the</w:t>
      </w:r>
      <w:r w:rsidR="00134161">
        <w:t xml:space="preserve"> originating</w:t>
      </w:r>
      <w:r w:rsidRPr="003A2690">
        <w:t xml:space="preserve"> TSP</w:t>
      </w:r>
      <w:r w:rsidR="00134161">
        <w:t>’</w:t>
      </w:r>
      <w:r w:rsidRPr="003A2690">
        <w:t xml:space="preserve">s customers </w:t>
      </w:r>
      <w:r w:rsidR="008E6869">
        <w:t>as well as</w:t>
      </w:r>
      <w:r w:rsidR="008E6869" w:rsidRPr="003A2690">
        <w:t xml:space="preserve"> </w:t>
      </w:r>
      <w:r w:rsidRPr="003A2690">
        <w:t xml:space="preserve">the </w:t>
      </w:r>
      <w:r w:rsidRPr="003A2690">
        <w:lastRenderedPageBreak/>
        <w:t xml:space="preserve">terminating </w:t>
      </w:r>
      <w:r w:rsidR="00B51A44">
        <w:t xml:space="preserve">and/or intermediate </w:t>
      </w:r>
      <w:r w:rsidRPr="003A2690">
        <w:t>carrier</w:t>
      </w:r>
      <w:r w:rsidR="00B51A44">
        <w:t>(s)</w:t>
      </w:r>
      <w:r w:rsidR="00134161">
        <w:t xml:space="preserve">, which may be required to investigate and resolve resulting routing issues. </w:t>
      </w:r>
    </w:p>
    <w:p w14:paraId="06056BF8" w14:textId="21269C54" w:rsidR="0098180C" w:rsidRPr="003A2690" w:rsidRDefault="00134161" w:rsidP="0098180C">
      <w:r>
        <w:t>Given the number and variety of</w:t>
      </w:r>
      <w:r w:rsidR="0098180C" w:rsidRPr="003A2690">
        <w:t xml:space="preserve"> TSPs that may terminate traffic </w:t>
      </w:r>
      <w:r>
        <w:t xml:space="preserve">to the affected </w:t>
      </w:r>
      <w:r w:rsidR="00DD5B0B">
        <w:t>E</w:t>
      </w:r>
      <w:r w:rsidR="0098180C" w:rsidRPr="003A2690">
        <w:t>xchange</w:t>
      </w:r>
      <w:r w:rsidR="00DD5B0B">
        <w:t xml:space="preserve"> Areas</w:t>
      </w:r>
      <w:r>
        <w:t>, it would be impractical to identify and survey all such providers to confirm their readiness</w:t>
      </w:r>
      <w:r w:rsidR="00B51A44">
        <w:t xml:space="preserve"> without Commission assistance</w:t>
      </w:r>
      <w:r>
        <w:t>.</w:t>
      </w:r>
      <w:r w:rsidR="0098180C" w:rsidRPr="003A2690">
        <w:t xml:space="preserve"> </w:t>
      </w:r>
      <w:r>
        <w:t xml:space="preserve"> </w:t>
      </w:r>
      <w:r w:rsidR="004A6591" w:rsidRPr="004A6591">
        <w:t xml:space="preserve">Should the Commission not wish to initiate an RFI to </w:t>
      </w:r>
      <w:r w:rsidR="00AD567F">
        <w:t>all TSPs</w:t>
      </w:r>
      <w:r w:rsidR="004A6591" w:rsidRPr="004A6591">
        <w:t xml:space="preserve"> regarding their state of readiness, then</w:t>
      </w:r>
      <w:r w:rsidR="004A6591">
        <w:t xml:space="preserve"> </w:t>
      </w:r>
      <w:r>
        <w:t xml:space="preserve">a </w:t>
      </w:r>
      <w:r w:rsidR="0098180C" w:rsidRPr="003A2690">
        <w:t>broad direction</w:t>
      </w:r>
      <w:r>
        <w:t xml:space="preserve"> or </w:t>
      </w:r>
      <w:r w:rsidR="0098180C" w:rsidRPr="003A2690">
        <w:t xml:space="preserve">reminder to all TSPs is </w:t>
      </w:r>
      <w:r>
        <w:t>considered the most appropriate approach</w:t>
      </w:r>
      <w:r w:rsidR="0098180C" w:rsidRPr="003A2690">
        <w:t>.</w:t>
      </w:r>
    </w:p>
    <w:p w14:paraId="5D026CC2" w14:textId="308DA094" w:rsidR="0098180C" w:rsidRDefault="00317DFC" w:rsidP="0098180C">
      <w:r>
        <w:t>Further</w:t>
      </w:r>
      <w:r w:rsidR="0098180C" w:rsidRPr="003A2690">
        <w:t xml:space="preserve">, </w:t>
      </w:r>
      <w:r w:rsidR="00134161">
        <w:t>the CSCN</w:t>
      </w:r>
      <w:r w:rsidR="00134161" w:rsidRPr="003A2690">
        <w:t xml:space="preserve"> </w:t>
      </w:r>
      <w:r w:rsidR="0098180C" w:rsidRPr="003A2690">
        <w:t>note</w:t>
      </w:r>
      <w:r w:rsidR="00134161">
        <w:t>s</w:t>
      </w:r>
      <w:r w:rsidR="0098180C" w:rsidRPr="003A2690">
        <w:t xml:space="preserve"> that a number of carriers and non-carrier entities offer competitive LNP </w:t>
      </w:r>
      <w:r w:rsidR="00A07D36">
        <w:t>query</w:t>
      </w:r>
      <w:r w:rsidR="0098180C" w:rsidRPr="003A2690">
        <w:t xml:space="preserve"> services. In </w:t>
      </w:r>
      <w:r w:rsidR="00134161">
        <w:t>Telecom Decision</w:t>
      </w:r>
      <w:r w:rsidR="0098180C" w:rsidRPr="003A2690">
        <w:t xml:space="preserve"> 2008-17</w:t>
      </w:r>
      <w:r w:rsidR="00134161">
        <w:t>(Essential Services)</w:t>
      </w:r>
      <w:r w:rsidR="0098180C" w:rsidRPr="003A2690">
        <w:t xml:space="preserve">, the Commission classified the wholesale LNP database services of the large ILECs and Cable carriers as non-essential subject to phase-out, meaning that </w:t>
      </w:r>
      <w:r w:rsidR="00134161">
        <w:t>these services</w:t>
      </w:r>
      <w:r w:rsidR="00134161" w:rsidRPr="003A2690">
        <w:t xml:space="preserve"> </w:t>
      </w:r>
      <w:r w:rsidR="0098180C" w:rsidRPr="003A2690">
        <w:t xml:space="preserve">could be provided without prior Commission rate approval, effective 3 March 2011. </w:t>
      </w:r>
      <w:r w:rsidR="00134161">
        <w:t>I</w:t>
      </w:r>
      <w:r w:rsidR="00134161" w:rsidRPr="003A2690">
        <w:t xml:space="preserve">n </w:t>
      </w:r>
      <w:r w:rsidR="0098180C" w:rsidRPr="003A2690">
        <w:t>Telecom Decision 2013-133</w:t>
      </w:r>
      <w:r w:rsidR="00134161">
        <w:t>,</w:t>
      </w:r>
      <w:r w:rsidR="0098180C" w:rsidRPr="003A2690">
        <w:t xml:space="preserve"> the Commission </w:t>
      </w:r>
      <w:r w:rsidR="00134161">
        <w:t>also determined</w:t>
      </w:r>
      <w:r w:rsidR="00134161" w:rsidRPr="003A2690">
        <w:t xml:space="preserve"> </w:t>
      </w:r>
      <w:r w:rsidR="0098180C" w:rsidRPr="003A2690">
        <w:t xml:space="preserve">that certain wholesale local number portability database services </w:t>
      </w:r>
      <w:r w:rsidR="00134161">
        <w:t xml:space="preserve">provided by competitive local exchange carriers </w:t>
      </w:r>
      <w:r w:rsidR="0098180C" w:rsidRPr="003A2690">
        <w:t>should be forborne from rate regulation.</w:t>
      </w:r>
    </w:p>
    <w:p w14:paraId="5A98A620" w14:textId="5081E0B4" w:rsidR="00DD5B0B" w:rsidRDefault="00AE057B" w:rsidP="0098180C">
      <w:r>
        <w:t xml:space="preserve">Accordingly, the CSCN recommends that </w:t>
      </w:r>
      <w:r w:rsidR="004F148D">
        <w:t>t</w:t>
      </w:r>
      <w:r w:rsidRPr="00AE057B">
        <w:t>he CRTC issue an order directing all TSPs (carriers and resellers) that perform</w:t>
      </w:r>
      <w:r w:rsidR="00134161">
        <w:t xml:space="preserve"> </w:t>
      </w:r>
      <w:r w:rsidRPr="00AE057B">
        <w:t xml:space="preserve">LNP database queries </w:t>
      </w:r>
      <w:r w:rsidR="00134161">
        <w:t xml:space="preserve">for the purpose of call routing, </w:t>
      </w:r>
      <w:r w:rsidRPr="00AE057B">
        <w:t xml:space="preserve">to ensure that </w:t>
      </w:r>
      <w:r w:rsidR="00134161">
        <w:t xml:space="preserve">such queries are performed against </w:t>
      </w:r>
      <w:r w:rsidRPr="00AE057B">
        <w:t>a Thousands-Block Pooling (TBP) ready LNP database no later than July 28, 2026.</w:t>
      </w:r>
    </w:p>
    <w:p w14:paraId="1DADD1AB" w14:textId="715815C4" w:rsidR="00134161" w:rsidRDefault="000639A4" w:rsidP="000639A4">
      <w:r w:rsidRPr="000639A4">
        <w:rPr>
          <w:u w:val="single"/>
        </w:rPr>
        <w:t>Item 2:</w:t>
      </w:r>
      <w:r>
        <w:t xml:space="preserve"> </w:t>
      </w:r>
      <w:r w:rsidR="00134161">
        <w:t>Carrier Readiness for TBP in Rollout Exchange Areas</w:t>
      </w:r>
    </w:p>
    <w:p w14:paraId="4AC42085" w14:textId="21963B06" w:rsidR="00134161" w:rsidRDefault="00317DFC" w:rsidP="00134161">
      <w:r>
        <w:t>In addition to Item 1, c</w:t>
      </w:r>
      <w:r w:rsidR="00134161">
        <w:t>arriers operating in Exchange Areas where TBP will be implemented must ensure that their operational systems correctly support TBP functionality.</w:t>
      </w:r>
    </w:p>
    <w:p w14:paraId="78013AD4" w14:textId="053ADBD2" w:rsidR="000639A4" w:rsidRPr="003A2690" w:rsidRDefault="00134161" w:rsidP="000639A4">
      <w:r>
        <w:t>For example, a</w:t>
      </w:r>
      <w:r w:rsidR="000639A4" w:rsidRPr="003A2690">
        <w:t xml:space="preserve"> carrier that incorrectly </w:t>
      </w:r>
      <w:r>
        <w:t>places a</w:t>
      </w:r>
      <w:r w:rsidRPr="003A2690">
        <w:t xml:space="preserve"> </w:t>
      </w:r>
      <w:r w:rsidR="000639A4" w:rsidRPr="003A2690">
        <w:t xml:space="preserve">TN into inventory </w:t>
      </w:r>
      <w:r>
        <w:t>after it has been</w:t>
      </w:r>
      <w:r w:rsidR="000639A4" w:rsidRPr="003A2690">
        <w:t xml:space="preserve"> ported to another carrier or </w:t>
      </w:r>
      <w:r>
        <w:t xml:space="preserve">that </w:t>
      </w:r>
      <w:r w:rsidR="000639A4" w:rsidRPr="003A2690">
        <w:t>incorrectly processes a Snapback message as a CO Code holder where they are not the Thousands-Block holder</w:t>
      </w:r>
      <w:r>
        <w:t>, could create a situation where the same TN is assigned to multiple customers.</w:t>
      </w:r>
      <w:r w:rsidR="000639A4" w:rsidRPr="003A2690">
        <w:t xml:space="preserve"> </w:t>
      </w:r>
      <w:r>
        <w:t>Such</w:t>
      </w:r>
      <w:r w:rsidR="000639A4" w:rsidRPr="003A2690">
        <w:t xml:space="preserve"> double </w:t>
      </w:r>
      <w:r>
        <w:t xml:space="preserve">TN </w:t>
      </w:r>
      <w:r w:rsidR="000639A4" w:rsidRPr="003A2690">
        <w:t xml:space="preserve">assignments </w:t>
      </w:r>
      <w:r>
        <w:t xml:space="preserve">would be </w:t>
      </w:r>
      <w:r w:rsidR="000639A4" w:rsidRPr="003A2690">
        <w:t>detriment</w:t>
      </w:r>
      <w:r>
        <w:t>al to</w:t>
      </w:r>
      <w:r w:rsidR="000639A4" w:rsidRPr="003A2690">
        <w:t xml:space="preserve"> customers of both carriers involved.</w:t>
      </w:r>
    </w:p>
    <w:p w14:paraId="6869AD35" w14:textId="0D29B050" w:rsidR="00DF74B0" w:rsidRPr="00DF74B0" w:rsidRDefault="00DF74B0" w:rsidP="00DF74B0">
      <w:r>
        <w:t>Accordingly, the CSCN recommends that t</w:t>
      </w:r>
      <w:r w:rsidRPr="00DF74B0">
        <w:t xml:space="preserve">he CRTC issue a direction to the CNA </w:t>
      </w:r>
      <w:r w:rsidR="00134161">
        <w:t>requiring that, in pooled Exchange Areas, the CNA</w:t>
      </w:r>
      <w:r w:rsidRPr="00DF74B0">
        <w:t xml:space="preserve"> </w:t>
      </w:r>
      <w:r w:rsidR="00FD0238">
        <w:t>deny</w:t>
      </w:r>
      <w:r w:rsidRPr="00DF74B0">
        <w:t xml:space="preserve"> </w:t>
      </w:r>
      <w:r w:rsidR="00134161">
        <w:t>the issuance of</w:t>
      </w:r>
      <w:r w:rsidR="00134161" w:rsidRPr="00DF74B0">
        <w:t xml:space="preserve"> </w:t>
      </w:r>
      <w:r w:rsidRPr="00DF74B0">
        <w:t xml:space="preserve">additional geographic number resources to any carrier that has not provided an </w:t>
      </w:r>
      <w:r w:rsidR="00265527">
        <w:t>affirmation</w:t>
      </w:r>
      <w:r w:rsidR="00134161">
        <w:t>,</w:t>
      </w:r>
      <w:r w:rsidR="007322D6">
        <w:t xml:space="preserve"> prior to the launch in each Phase of the rollout plan</w:t>
      </w:r>
      <w:r w:rsidRPr="00DF74B0">
        <w:t xml:space="preserve"> in a prescribed form</w:t>
      </w:r>
      <w:r w:rsidR="00134161">
        <w:t xml:space="preserve">, confirming </w:t>
      </w:r>
      <w:r w:rsidRPr="00DF74B0">
        <w:t xml:space="preserve">that sufficient production level testing </w:t>
      </w:r>
      <w:r w:rsidR="00134161">
        <w:t xml:space="preserve">has been completed </w:t>
      </w:r>
      <w:r w:rsidRPr="00DF74B0">
        <w:t xml:space="preserve">to </w:t>
      </w:r>
      <w:r w:rsidR="00134161">
        <w:t>verify</w:t>
      </w:r>
      <w:r w:rsidR="00134161" w:rsidRPr="00DF74B0">
        <w:t xml:space="preserve"> </w:t>
      </w:r>
      <w:r w:rsidRPr="00DF74B0">
        <w:t>that:</w:t>
      </w:r>
    </w:p>
    <w:p w14:paraId="7110F79D" w14:textId="0BD8C94E" w:rsidR="00BB7532" w:rsidRPr="003A2690" w:rsidRDefault="00134161" w:rsidP="00BB7532">
      <w:pPr>
        <w:numPr>
          <w:ilvl w:val="0"/>
          <w:numId w:val="1"/>
        </w:numPr>
      </w:pPr>
      <w:r>
        <w:t xml:space="preserve">the carrier’s </w:t>
      </w:r>
      <w:r w:rsidR="00BB7532" w:rsidRPr="003A2690">
        <w:t xml:space="preserve">processing of </w:t>
      </w:r>
      <w:r w:rsidR="00BB7532">
        <w:t>Local Number Portability (</w:t>
      </w:r>
      <w:r w:rsidR="00BB7532" w:rsidRPr="003A2690">
        <w:t>LNP</w:t>
      </w:r>
      <w:r w:rsidR="00BB7532">
        <w:t>)</w:t>
      </w:r>
      <w:r w:rsidR="00BB7532" w:rsidRPr="003A2690">
        <w:t xml:space="preserve"> Telephone Number (TN) disconnect notifications (i.e., Snapbacks) </w:t>
      </w:r>
      <w:r>
        <w:t>functions</w:t>
      </w:r>
      <w:r w:rsidRPr="003A2690">
        <w:t xml:space="preserve"> </w:t>
      </w:r>
      <w:r w:rsidR="00BB7532" w:rsidRPr="003A2690">
        <w:t xml:space="preserve">correctly in a TBP environment such that double TN assignments </w:t>
      </w:r>
      <w:r>
        <w:t>are</w:t>
      </w:r>
      <w:r w:rsidR="00BB7532" w:rsidRPr="003A2690">
        <w:t xml:space="preserve"> avoided</w:t>
      </w:r>
      <w:r w:rsidR="00BB7532">
        <w:t>;</w:t>
      </w:r>
    </w:p>
    <w:p w14:paraId="32F84696" w14:textId="62EE4791" w:rsidR="00BB7532" w:rsidRDefault="00134161" w:rsidP="00BB7532">
      <w:pPr>
        <w:numPr>
          <w:ilvl w:val="0"/>
          <w:numId w:val="1"/>
        </w:numPr>
      </w:pPr>
      <w:r>
        <w:t xml:space="preserve">the </w:t>
      </w:r>
      <w:r w:rsidR="00BB7532" w:rsidRPr="003A2690">
        <w:t xml:space="preserve">intake into inventory of a contaminated Thousands-Block assigned by the CNA </w:t>
      </w:r>
      <w:r>
        <w:t xml:space="preserve">does not result in </w:t>
      </w:r>
      <w:r w:rsidR="00BB7532" w:rsidRPr="003A2690">
        <w:t>ported TNs</w:t>
      </w:r>
      <w:r>
        <w:t xml:space="preserve"> being placed</w:t>
      </w:r>
      <w:r w:rsidR="00BB7532" w:rsidRPr="003A2690">
        <w:t xml:space="preserve"> into inventory, </w:t>
      </w:r>
      <w:r>
        <w:t>which could lead to</w:t>
      </w:r>
      <w:r w:rsidR="00BB7532" w:rsidRPr="003A2690">
        <w:t xml:space="preserve"> double TN assignments</w:t>
      </w:r>
      <w:r w:rsidR="00BB7532">
        <w:t>; and</w:t>
      </w:r>
    </w:p>
    <w:p w14:paraId="79B8B3F1" w14:textId="6A3C667B" w:rsidR="00BB7532" w:rsidRPr="003A2690" w:rsidRDefault="00BB7532" w:rsidP="00BB7532">
      <w:pPr>
        <w:numPr>
          <w:ilvl w:val="0"/>
          <w:numId w:val="1"/>
        </w:numPr>
      </w:pPr>
      <w:r>
        <w:t xml:space="preserve">LNP database queries are performed </w:t>
      </w:r>
      <w:r w:rsidR="00134161">
        <w:t xml:space="preserve">against </w:t>
      </w:r>
      <w:r>
        <w:t>a database configured to receive Thousands-Block records.</w:t>
      </w:r>
    </w:p>
    <w:p w14:paraId="36D5FCFB" w14:textId="15F5230B" w:rsidR="00DA4602" w:rsidRPr="003A2690" w:rsidRDefault="00DA4602" w:rsidP="006F4FBC">
      <w:r>
        <w:lastRenderedPageBreak/>
        <w:t xml:space="preserve">Carriers that have not provided their affirmation of TBP readiness will not be eligible to receive </w:t>
      </w:r>
      <w:r w:rsidR="00903F94">
        <w:t xml:space="preserve">additional </w:t>
      </w:r>
      <w:r>
        <w:t>numbering resources in a Pooled Exchange Area until they have affirmed their readiness.</w:t>
      </w:r>
    </w:p>
    <w:p w14:paraId="5CDA67E0" w14:textId="77777777" w:rsidR="00134161" w:rsidRDefault="00134161" w:rsidP="00E275BF">
      <w:pPr>
        <w:rPr>
          <w:u w:val="single"/>
        </w:rPr>
      </w:pPr>
    </w:p>
    <w:p w14:paraId="22EA3223" w14:textId="1CD257BB" w:rsidR="00134161" w:rsidRDefault="00DF74B0" w:rsidP="00E275BF">
      <w:r w:rsidRPr="00E275BF">
        <w:rPr>
          <w:u w:val="single"/>
        </w:rPr>
        <w:t>Item 3:</w:t>
      </w:r>
      <w:r>
        <w:t xml:space="preserve"> </w:t>
      </w:r>
      <w:r w:rsidR="00360563">
        <w:t xml:space="preserve">Voluntary </w:t>
      </w:r>
      <w:r w:rsidR="00134161">
        <w:t>Return of Thousand-Blocks in Pooled Exchange Areas</w:t>
      </w:r>
    </w:p>
    <w:p w14:paraId="286D43ED" w14:textId="307F5C09" w:rsidR="00E275BF" w:rsidRDefault="00E275BF" w:rsidP="00E275BF">
      <w:r w:rsidRPr="003A2690">
        <w:t xml:space="preserve">A carrier that incorrectly returns a Thousands-Block to the CNA for reassignment </w:t>
      </w:r>
      <w:r w:rsidR="00134161">
        <w:t>could also create a risk of</w:t>
      </w:r>
      <w:r w:rsidRPr="003A2690">
        <w:t xml:space="preserve"> double TN assignments</w:t>
      </w:r>
      <w:r w:rsidR="00134161">
        <w:t>,</w:t>
      </w:r>
      <w:r w:rsidRPr="003A2690">
        <w:t xml:space="preserve"> to the detriment of customers of both </w:t>
      </w:r>
      <w:r w:rsidR="00134161">
        <w:t>the returning carrier and the carrier to which the block is subsequently reassigned</w:t>
      </w:r>
      <w:r w:rsidRPr="003A2690">
        <w:t>.</w:t>
      </w:r>
    </w:p>
    <w:p w14:paraId="64CCAD05" w14:textId="0ED4A058" w:rsidR="00265527" w:rsidRPr="00265527" w:rsidRDefault="00265527" w:rsidP="00265527">
      <w:r>
        <w:t>Accordingly, the CSCN recommends that t</w:t>
      </w:r>
      <w:r w:rsidRPr="00265527">
        <w:t xml:space="preserve">he CRTC issue a direction to the CNA </w:t>
      </w:r>
      <w:r w:rsidR="00134161">
        <w:t>requiring that the CNA</w:t>
      </w:r>
      <w:r w:rsidRPr="00265527">
        <w:t xml:space="preserve"> refuse to accept the return of Thousands-Blocks in pooled </w:t>
      </w:r>
      <w:r w:rsidR="00F01F6E">
        <w:t>Exchange Areas</w:t>
      </w:r>
      <w:r w:rsidRPr="00265527">
        <w:t xml:space="preserve"> by any carrier that has not provided an </w:t>
      </w:r>
      <w:r>
        <w:t>affirmation</w:t>
      </w:r>
      <w:r w:rsidR="00134161">
        <w:t>,</w:t>
      </w:r>
      <w:r w:rsidRPr="00265527">
        <w:t xml:space="preserve"> in a prescribed form</w:t>
      </w:r>
      <w:r w:rsidR="00134161">
        <w:t>,</w:t>
      </w:r>
      <w:r w:rsidRPr="00265527">
        <w:t xml:space="preserve"> </w:t>
      </w:r>
      <w:r w:rsidR="00134161">
        <w:t>confirming</w:t>
      </w:r>
      <w:r w:rsidRPr="00265527">
        <w:t xml:space="preserve"> that </w:t>
      </w:r>
      <w:r w:rsidR="00134161">
        <w:t>it has completed</w:t>
      </w:r>
      <w:r w:rsidRPr="00265527">
        <w:t xml:space="preserve"> sufficient production</w:t>
      </w:r>
      <w:r w:rsidR="00134161">
        <w:t>-</w:t>
      </w:r>
      <w:r w:rsidRPr="00265527">
        <w:t xml:space="preserve">level testing </w:t>
      </w:r>
      <w:r w:rsidR="00134161">
        <w:t>and has implemented appropriate</w:t>
      </w:r>
      <w:r w:rsidRPr="00265527">
        <w:t xml:space="preserve"> processes to return such blocks in accordance with the </w:t>
      </w:r>
      <w:r>
        <w:t xml:space="preserve">proposed </w:t>
      </w:r>
      <w:r w:rsidRPr="00265527">
        <w:rPr>
          <w:i/>
          <w:iCs/>
        </w:rPr>
        <w:t>Canadian Thousands-Block and CO Code Assignment Guideline</w:t>
      </w:r>
      <w:r w:rsidRPr="00265527">
        <w:t>.</w:t>
      </w:r>
    </w:p>
    <w:p w14:paraId="5AA4663D" w14:textId="77777777" w:rsidR="00DA4602" w:rsidRPr="003A2690" w:rsidRDefault="00DA4602" w:rsidP="006F4FBC">
      <w:r>
        <w:t>Carriers that have not provided their affirmation of TBP readiness will not be eligible to return Thousands Blocks in a Pooled Exchange Area until they have affirmed their readiness.</w:t>
      </w:r>
    </w:p>
    <w:p w14:paraId="00750125" w14:textId="77777777" w:rsidR="00AE057B" w:rsidRPr="004D06B8" w:rsidRDefault="00AE057B" w:rsidP="0098180C"/>
    <w:p w14:paraId="0FE9F0F6" w14:textId="77777777" w:rsidR="000D2B19" w:rsidRDefault="000D2B19" w:rsidP="000D2B19">
      <w:pPr>
        <w:rPr>
          <w:b/>
          <w:bCs/>
        </w:rPr>
      </w:pPr>
      <w:r w:rsidRPr="000D2B19">
        <w:rPr>
          <w:b/>
          <w:bCs/>
        </w:rPr>
        <w:t>CONCLUSIONS:</w:t>
      </w:r>
    </w:p>
    <w:p w14:paraId="26A6A6F7" w14:textId="77777777" w:rsidR="00F36CAA" w:rsidRDefault="00F36CAA" w:rsidP="00F36CAA">
      <w:r>
        <w:t>CSCN is of the view that the proposal is an efficient process in support of the launch of TBP.</w:t>
      </w:r>
    </w:p>
    <w:p w14:paraId="57244CE4" w14:textId="77777777" w:rsidR="00F36CAA" w:rsidRPr="00F36CAA" w:rsidRDefault="00F36CAA" w:rsidP="000D2B19"/>
    <w:p w14:paraId="1CCDB8FA" w14:textId="77777777" w:rsidR="000D2B19" w:rsidRDefault="000D2B19" w:rsidP="000D2B19">
      <w:pPr>
        <w:rPr>
          <w:b/>
          <w:bCs/>
        </w:rPr>
      </w:pPr>
      <w:r w:rsidRPr="000D2B19">
        <w:rPr>
          <w:b/>
          <w:bCs/>
        </w:rPr>
        <w:t>RECOMMENDATIONS:</w:t>
      </w:r>
    </w:p>
    <w:p w14:paraId="6A3EBE45" w14:textId="43402BDC" w:rsidR="00265527" w:rsidRDefault="00F01F6E" w:rsidP="000D2B19">
      <w:r>
        <w:t>The CSCN recommends that:</w:t>
      </w:r>
    </w:p>
    <w:p w14:paraId="63CF5892" w14:textId="71959937" w:rsidR="00F01F6E" w:rsidRDefault="00F01F6E" w:rsidP="00F01F6E">
      <w:pPr>
        <w:pStyle w:val="ListParagraph"/>
        <w:numPr>
          <w:ilvl w:val="0"/>
          <w:numId w:val="3"/>
        </w:numPr>
      </w:pPr>
      <w:r>
        <w:t>t</w:t>
      </w:r>
      <w:r w:rsidRPr="00AE057B">
        <w:t>he CRTC issue an order directing all TSPs (carriers and resellers) that perform LNP database queries</w:t>
      </w:r>
      <w:r w:rsidR="007B4B46">
        <w:t xml:space="preserve"> for call routing</w:t>
      </w:r>
      <w:r w:rsidRPr="00AE057B">
        <w:t xml:space="preserve"> to ensure that they are performing such LNP database queries on a Thousands-Block Pooling (TBP) ready LNP database no later than July 28, 2026</w:t>
      </w:r>
      <w:r w:rsidR="00DE0AB9">
        <w:t>. Should the Commission not wish to initiate an RFI regarding carriers’ readiness, a broad direction or reminder to all TSPs is considered the most appropriate approach.</w:t>
      </w:r>
    </w:p>
    <w:p w14:paraId="60D33F95" w14:textId="77777777" w:rsidR="00F01F6E" w:rsidRDefault="00F01F6E" w:rsidP="00F01F6E">
      <w:pPr>
        <w:pStyle w:val="ListParagraph"/>
      </w:pPr>
    </w:p>
    <w:p w14:paraId="5D71664F" w14:textId="431FB9BC" w:rsidR="00F01F6E" w:rsidRPr="00DF74B0" w:rsidRDefault="00F01F6E" w:rsidP="00F01F6E">
      <w:pPr>
        <w:pStyle w:val="ListParagraph"/>
        <w:numPr>
          <w:ilvl w:val="0"/>
          <w:numId w:val="3"/>
        </w:numPr>
      </w:pPr>
      <w:r>
        <w:t>t</w:t>
      </w:r>
      <w:r w:rsidRPr="00DF74B0">
        <w:t xml:space="preserve">he CRTC issue a direction to the CNA directing it to </w:t>
      </w:r>
      <w:r>
        <w:t>deny</w:t>
      </w:r>
      <w:r w:rsidRPr="00DF74B0">
        <w:t xml:space="preserve"> </w:t>
      </w:r>
      <w:r>
        <w:t>issuing</w:t>
      </w:r>
      <w:r w:rsidRPr="00DF74B0">
        <w:t xml:space="preserve"> additional geographic number resources in pooled exchanges to any carrier that has not provided an </w:t>
      </w:r>
      <w:r>
        <w:t>affirmation</w:t>
      </w:r>
      <w:r w:rsidRPr="00DF74B0">
        <w:t xml:space="preserve"> in a prescribed form that affirms that they have performed sufficient production level testing</w:t>
      </w:r>
      <w:r w:rsidR="00642214">
        <w:t xml:space="preserve"> prior to opening TBP </w:t>
      </w:r>
      <w:r w:rsidR="0016613E">
        <w:t>in each Phase in accordance with the rollout plan</w:t>
      </w:r>
      <w:r w:rsidRPr="00DF74B0">
        <w:t xml:space="preserve"> to confirm that:</w:t>
      </w:r>
    </w:p>
    <w:p w14:paraId="5E96D9E6" w14:textId="5C483232" w:rsidR="00BB7532" w:rsidRPr="003A2690" w:rsidRDefault="00FF2BB2" w:rsidP="001D7317">
      <w:pPr>
        <w:numPr>
          <w:ilvl w:val="0"/>
          <w:numId w:val="4"/>
        </w:numPr>
      </w:pPr>
      <w:r>
        <w:t>the carrier</w:t>
      </w:r>
      <w:r w:rsidR="00BE66A7">
        <w:t>’</w:t>
      </w:r>
      <w:r>
        <w:t xml:space="preserve">s </w:t>
      </w:r>
      <w:r w:rsidR="00BB7532" w:rsidRPr="003A2690">
        <w:t xml:space="preserve">processing of </w:t>
      </w:r>
      <w:r w:rsidR="00BB7532">
        <w:t>Local Number Portability (</w:t>
      </w:r>
      <w:r w:rsidR="00BB7532" w:rsidRPr="003A2690">
        <w:t>LNP</w:t>
      </w:r>
      <w:r w:rsidR="00BB7532">
        <w:t>)</w:t>
      </w:r>
      <w:r w:rsidR="00BB7532" w:rsidRPr="003A2690">
        <w:t xml:space="preserve"> Telephone Number (TN) disconnect notifications (i.e., Snapbacks) operates correctly in a TBP environment such that double TN assignments can be avoided</w:t>
      </w:r>
      <w:r w:rsidR="00BB7532">
        <w:t>;</w:t>
      </w:r>
    </w:p>
    <w:p w14:paraId="5C3241F7" w14:textId="47F84442" w:rsidR="00BB7532" w:rsidRDefault="000252EA" w:rsidP="001D7317">
      <w:pPr>
        <w:numPr>
          <w:ilvl w:val="0"/>
          <w:numId w:val="4"/>
        </w:numPr>
      </w:pPr>
      <w:r>
        <w:t xml:space="preserve">the </w:t>
      </w:r>
      <w:r w:rsidR="00BB7532" w:rsidRPr="003A2690">
        <w:t xml:space="preserve">intake into inventory of a contaminated Thousands-Block assigned by the CNA </w:t>
      </w:r>
      <w:r w:rsidR="00BB7532">
        <w:t xml:space="preserve">will </w:t>
      </w:r>
      <w:r w:rsidR="00BB7532" w:rsidRPr="003A2690">
        <w:t>avoid placing ported TNs into inventory, thereby causing double TN assignments</w:t>
      </w:r>
      <w:r w:rsidR="00BB7532">
        <w:t>; and</w:t>
      </w:r>
    </w:p>
    <w:p w14:paraId="0F1992C6" w14:textId="0F6395F6" w:rsidR="00BB7532" w:rsidRDefault="00BB7532" w:rsidP="001D7317">
      <w:pPr>
        <w:numPr>
          <w:ilvl w:val="0"/>
          <w:numId w:val="4"/>
        </w:numPr>
      </w:pPr>
      <w:r>
        <w:lastRenderedPageBreak/>
        <w:t xml:space="preserve">LNP database queries are performed on </w:t>
      </w:r>
      <w:r w:rsidR="000252EA">
        <w:t>against</w:t>
      </w:r>
      <w:r>
        <w:t xml:space="preserve"> database configured to receive Thousands-Block records.</w:t>
      </w:r>
    </w:p>
    <w:p w14:paraId="04BF71C3" w14:textId="26B39B6D" w:rsidR="007629D1" w:rsidRPr="003A2690" w:rsidRDefault="007629D1" w:rsidP="006F4FBC">
      <w:pPr>
        <w:ind w:left="720"/>
      </w:pPr>
      <w:r>
        <w:t xml:space="preserve">Carriers that have not </w:t>
      </w:r>
      <w:r w:rsidR="00B85F3A">
        <w:t xml:space="preserve">provided their affirmation of TBP readiness will not be eligible to receive </w:t>
      </w:r>
      <w:r w:rsidR="00903F94">
        <w:t xml:space="preserve">additional </w:t>
      </w:r>
      <w:r w:rsidR="00B85F3A">
        <w:t xml:space="preserve">numbering resources in a Pooled Exchange Area until they have </w:t>
      </w:r>
      <w:r w:rsidR="00FA488E">
        <w:t>affirmed their readiness.</w:t>
      </w:r>
    </w:p>
    <w:p w14:paraId="79C636E6" w14:textId="60BB6B54" w:rsidR="00F01F6E" w:rsidRDefault="00F01F6E" w:rsidP="00F01F6E">
      <w:pPr>
        <w:pStyle w:val="ListParagraph"/>
        <w:numPr>
          <w:ilvl w:val="0"/>
          <w:numId w:val="3"/>
        </w:numPr>
      </w:pPr>
      <w:r>
        <w:t>t</w:t>
      </w:r>
      <w:r w:rsidRPr="00265527">
        <w:t xml:space="preserve">he CRTC issue a direction to the CNA directing it to refuse to accept the return of Thousands-Blocks in pooled </w:t>
      </w:r>
      <w:r>
        <w:t>Exchange Areas</w:t>
      </w:r>
      <w:r w:rsidRPr="00265527">
        <w:t xml:space="preserve"> by any carrier that has not provided an </w:t>
      </w:r>
      <w:r>
        <w:t>affirmation</w:t>
      </w:r>
      <w:r w:rsidRPr="00265527">
        <w:t xml:space="preserve"> in a prescribed form that affirms that they have performed sufficient production level testing to confirm that they have sufficient processes in place to return such blocks in accordance with the </w:t>
      </w:r>
      <w:r>
        <w:t xml:space="preserve">proposed </w:t>
      </w:r>
      <w:r w:rsidRPr="00265527">
        <w:rPr>
          <w:i/>
          <w:iCs/>
        </w:rPr>
        <w:t>Canadian Thousands-Block and CO Code Assignment Guideline</w:t>
      </w:r>
      <w:r w:rsidRPr="00265527">
        <w:t>.</w:t>
      </w:r>
    </w:p>
    <w:p w14:paraId="665FE94D" w14:textId="1F08195E" w:rsidR="00FA488E" w:rsidRPr="003A2690" w:rsidRDefault="00FA488E" w:rsidP="00FA488E">
      <w:pPr>
        <w:ind w:left="720"/>
      </w:pPr>
      <w:r>
        <w:t>Carriers that have not provided their affirmation of TBP readiness will not be eligible to return</w:t>
      </w:r>
      <w:r w:rsidR="008B61C1">
        <w:t xml:space="preserve"> Thousands</w:t>
      </w:r>
      <w:r>
        <w:t xml:space="preserve"> </w:t>
      </w:r>
      <w:r w:rsidR="008B61C1">
        <w:t>Blocks</w:t>
      </w:r>
      <w:r>
        <w:t xml:space="preserve"> in a Pooled Exchange Area until they have affirmed their readiness.</w:t>
      </w:r>
    </w:p>
    <w:p w14:paraId="483CDBAB" w14:textId="77777777" w:rsidR="00FA488E" w:rsidRPr="000D2B19" w:rsidRDefault="00FA488E" w:rsidP="006F4FBC">
      <w:pPr>
        <w:pStyle w:val="ListParagraph"/>
      </w:pPr>
    </w:p>
    <w:p w14:paraId="1B3E1DB9" w14:textId="77777777" w:rsidR="000D2B19" w:rsidRPr="000D2B19" w:rsidRDefault="000D2B19" w:rsidP="000D2B19">
      <w:r w:rsidRPr="000D2B19">
        <w:rPr>
          <w:b/>
          <w:bCs/>
        </w:rPr>
        <w:t>ATTACHMENTS:</w:t>
      </w:r>
    </w:p>
    <w:bookmarkStart w:id="0" w:name="_MON_1836638144"/>
    <w:bookmarkEnd w:id="0"/>
    <w:p w14:paraId="078C1155" w14:textId="0620992F" w:rsidR="00133735" w:rsidRDefault="007112A0">
      <w:r>
        <w:object w:dxaOrig="1543" w:dyaOrig="998" w14:anchorId="2BA16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Word.Document.12" ShapeID="_x0000_i1025" DrawAspect="Icon" ObjectID="_1836638683" r:id="rId12">
            <o:FieldCodes>\s</o:FieldCodes>
          </o:OLEObject>
        </w:object>
      </w:r>
    </w:p>
    <w:p w14:paraId="14D0FB7C" w14:textId="3EBA2E39" w:rsidR="00C411EB" w:rsidRDefault="00133735">
      <w:r w:rsidRPr="00133735">
        <w:t>Carrier Affirmation of Thousands-Block Pooling Readiness</w:t>
      </w:r>
      <w:r>
        <w:t xml:space="preserve"> form</w:t>
      </w:r>
    </w:p>
    <w:sectPr w:rsidR="00C411EB" w:rsidSect="008A7DC8">
      <w:footerReference w:type="defaul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5BEE" w14:textId="77777777" w:rsidR="002D1939" w:rsidRDefault="002D1939" w:rsidP="001D7317">
      <w:pPr>
        <w:spacing w:after="0" w:line="240" w:lineRule="auto"/>
      </w:pPr>
      <w:r>
        <w:separator/>
      </w:r>
    </w:p>
  </w:endnote>
  <w:endnote w:type="continuationSeparator" w:id="0">
    <w:p w14:paraId="0A6619FD" w14:textId="77777777" w:rsidR="002D1939" w:rsidRDefault="002D1939" w:rsidP="001D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689867"/>
      <w:docPartObj>
        <w:docPartGallery w:val="Page Numbers (Bottom of Page)"/>
        <w:docPartUnique/>
      </w:docPartObj>
    </w:sdtPr>
    <w:sdtEndPr>
      <w:rPr>
        <w:noProof/>
      </w:rPr>
    </w:sdtEndPr>
    <w:sdtContent>
      <w:p w14:paraId="39E491C3" w14:textId="42AF3FDB" w:rsidR="00CA3F14" w:rsidRDefault="00CA3F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66F420" w14:textId="77777777" w:rsidR="00CA3F14" w:rsidRDefault="00CA3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503371"/>
      <w:docPartObj>
        <w:docPartGallery w:val="Page Numbers (Bottom of Page)"/>
        <w:docPartUnique/>
      </w:docPartObj>
    </w:sdtPr>
    <w:sdtEndPr>
      <w:rPr>
        <w:noProof/>
      </w:rPr>
    </w:sdtEndPr>
    <w:sdtContent>
      <w:p w14:paraId="3E838FA5" w14:textId="4C22E854" w:rsidR="00CA3F14" w:rsidRDefault="00CA3F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26DE6E" w14:textId="77777777" w:rsidR="001D7317" w:rsidRDefault="001D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0BE8" w14:textId="77777777" w:rsidR="002D1939" w:rsidRDefault="002D1939" w:rsidP="001D7317">
      <w:pPr>
        <w:spacing w:after="0" w:line="240" w:lineRule="auto"/>
      </w:pPr>
      <w:r>
        <w:separator/>
      </w:r>
    </w:p>
  </w:footnote>
  <w:footnote w:type="continuationSeparator" w:id="0">
    <w:p w14:paraId="79F5873B" w14:textId="77777777" w:rsidR="002D1939" w:rsidRDefault="002D1939" w:rsidP="001D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ECB"/>
    <w:multiLevelType w:val="hybridMultilevel"/>
    <w:tmpl w:val="0CCEB93A"/>
    <w:lvl w:ilvl="0" w:tplc="4E688190">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31BA74B5"/>
    <w:multiLevelType w:val="hybridMultilevel"/>
    <w:tmpl w:val="06BCC2A2"/>
    <w:lvl w:ilvl="0" w:tplc="04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E4B5C3C"/>
    <w:multiLevelType w:val="hybridMultilevel"/>
    <w:tmpl w:val="0CCEB93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79897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783872">
    <w:abstractNumId w:val="0"/>
  </w:num>
  <w:num w:numId="3" w16cid:durableId="1867524639">
    <w:abstractNumId w:val="1"/>
  </w:num>
  <w:num w:numId="4" w16cid:durableId="756559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C2"/>
    <w:rsid w:val="00000C40"/>
    <w:rsid w:val="00014126"/>
    <w:rsid w:val="000252EA"/>
    <w:rsid w:val="00046456"/>
    <w:rsid w:val="0004757B"/>
    <w:rsid w:val="000639A4"/>
    <w:rsid w:val="000B7436"/>
    <w:rsid w:val="000D2B19"/>
    <w:rsid w:val="00120D70"/>
    <w:rsid w:val="00133735"/>
    <w:rsid w:val="00134161"/>
    <w:rsid w:val="0016613E"/>
    <w:rsid w:val="0017063C"/>
    <w:rsid w:val="001778FA"/>
    <w:rsid w:val="001862DE"/>
    <w:rsid w:val="001D5802"/>
    <w:rsid w:val="001D7317"/>
    <w:rsid w:val="001E19A2"/>
    <w:rsid w:val="00240323"/>
    <w:rsid w:val="00262406"/>
    <w:rsid w:val="00265527"/>
    <w:rsid w:val="00293126"/>
    <w:rsid w:val="002B5EF6"/>
    <w:rsid w:val="002C29E0"/>
    <w:rsid w:val="002C7FD8"/>
    <w:rsid w:val="002D1939"/>
    <w:rsid w:val="003027A8"/>
    <w:rsid w:val="00313E03"/>
    <w:rsid w:val="00316388"/>
    <w:rsid w:val="00317DFC"/>
    <w:rsid w:val="00340209"/>
    <w:rsid w:val="00360563"/>
    <w:rsid w:val="00394147"/>
    <w:rsid w:val="003B0B10"/>
    <w:rsid w:val="003B3BB1"/>
    <w:rsid w:val="003F1A0C"/>
    <w:rsid w:val="004540AE"/>
    <w:rsid w:val="00457982"/>
    <w:rsid w:val="004A25D1"/>
    <w:rsid w:val="004A6591"/>
    <w:rsid w:val="004C01C2"/>
    <w:rsid w:val="004D06B8"/>
    <w:rsid w:val="004D4F5A"/>
    <w:rsid w:val="004D75C0"/>
    <w:rsid w:val="004F148D"/>
    <w:rsid w:val="0051055A"/>
    <w:rsid w:val="00642214"/>
    <w:rsid w:val="00642B9F"/>
    <w:rsid w:val="00643E45"/>
    <w:rsid w:val="006963F5"/>
    <w:rsid w:val="00697A3C"/>
    <w:rsid w:val="006E608F"/>
    <w:rsid w:val="006F4FBC"/>
    <w:rsid w:val="007112A0"/>
    <w:rsid w:val="00730B69"/>
    <w:rsid w:val="007322D6"/>
    <w:rsid w:val="007629D1"/>
    <w:rsid w:val="007729BF"/>
    <w:rsid w:val="00784EC7"/>
    <w:rsid w:val="007B213A"/>
    <w:rsid w:val="007B4B46"/>
    <w:rsid w:val="007F09BF"/>
    <w:rsid w:val="00800797"/>
    <w:rsid w:val="00816C80"/>
    <w:rsid w:val="00840931"/>
    <w:rsid w:val="0086132C"/>
    <w:rsid w:val="00865292"/>
    <w:rsid w:val="00884CAC"/>
    <w:rsid w:val="008A31C6"/>
    <w:rsid w:val="008A3F89"/>
    <w:rsid w:val="008A7DC8"/>
    <w:rsid w:val="008B61C1"/>
    <w:rsid w:val="008E6869"/>
    <w:rsid w:val="00903F94"/>
    <w:rsid w:val="0093125C"/>
    <w:rsid w:val="00944CA8"/>
    <w:rsid w:val="00972D7E"/>
    <w:rsid w:val="0098180C"/>
    <w:rsid w:val="009964AF"/>
    <w:rsid w:val="009A68CA"/>
    <w:rsid w:val="009C0398"/>
    <w:rsid w:val="00A07D36"/>
    <w:rsid w:val="00A31A83"/>
    <w:rsid w:val="00AB5E98"/>
    <w:rsid w:val="00AD567F"/>
    <w:rsid w:val="00AE057B"/>
    <w:rsid w:val="00B235B8"/>
    <w:rsid w:val="00B51A44"/>
    <w:rsid w:val="00B85F3A"/>
    <w:rsid w:val="00B97E8A"/>
    <w:rsid w:val="00BB7532"/>
    <w:rsid w:val="00BE66A7"/>
    <w:rsid w:val="00C17051"/>
    <w:rsid w:val="00C220AA"/>
    <w:rsid w:val="00C265F6"/>
    <w:rsid w:val="00C411EB"/>
    <w:rsid w:val="00C57533"/>
    <w:rsid w:val="00C66664"/>
    <w:rsid w:val="00CA3F14"/>
    <w:rsid w:val="00CA729C"/>
    <w:rsid w:val="00CD0FBA"/>
    <w:rsid w:val="00CD2BDB"/>
    <w:rsid w:val="00CD2D8D"/>
    <w:rsid w:val="00CE63B7"/>
    <w:rsid w:val="00D5442F"/>
    <w:rsid w:val="00D70355"/>
    <w:rsid w:val="00D81FF4"/>
    <w:rsid w:val="00DA4602"/>
    <w:rsid w:val="00DD5B0B"/>
    <w:rsid w:val="00DE0AB9"/>
    <w:rsid w:val="00DF74B0"/>
    <w:rsid w:val="00E1663D"/>
    <w:rsid w:val="00E275BF"/>
    <w:rsid w:val="00E93D25"/>
    <w:rsid w:val="00EB5697"/>
    <w:rsid w:val="00F01F6E"/>
    <w:rsid w:val="00F039F7"/>
    <w:rsid w:val="00F12DB6"/>
    <w:rsid w:val="00F24A77"/>
    <w:rsid w:val="00F36CAA"/>
    <w:rsid w:val="00F55C27"/>
    <w:rsid w:val="00F83C7B"/>
    <w:rsid w:val="00F8519E"/>
    <w:rsid w:val="00FA488E"/>
    <w:rsid w:val="00FD0238"/>
    <w:rsid w:val="00FF2BB2"/>
    <w:rsid w:val="00FF5A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2C4B"/>
  <w15:chartTrackingRefBased/>
  <w15:docId w15:val="{6780F05E-E626-4297-9CE9-DDA7FCD8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02"/>
  </w:style>
  <w:style w:type="paragraph" w:styleId="Heading1">
    <w:name w:val="heading 1"/>
    <w:basedOn w:val="Normal"/>
    <w:next w:val="Normal"/>
    <w:link w:val="Heading1Char"/>
    <w:uiPriority w:val="9"/>
    <w:qFormat/>
    <w:rsid w:val="004C0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1C2"/>
    <w:rPr>
      <w:rFonts w:eastAsiaTheme="majorEastAsia" w:cstheme="majorBidi"/>
      <w:color w:val="272727" w:themeColor="text1" w:themeTint="D8"/>
    </w:rPr>
  </w:style>
  <w:style w:type="paragraph" w:styleId="Title">
    <w:name w:val="Title"/>
    <w:basedOn w:val="Normal"/>
    <w:next w:val="Normal"/>
    <w:link w:val="TitleChar"/>
    <w:uiPriority w:val="10"/>
    <w:qFormat/>
    <w:rsid w:val="004C0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1C2"/>
    <w:pPr>
      <w:spacing w:before="160"/>
      <w:jc w:val="center"/>
    </w:pPr>
    <w:rPr>
      <w:i/>
      <w:iCs/>
      <w:color w:val="404040" w:themeColor="text1" w:themeTint="BF"/>
    </w:rPr>
  </w:style>
  <w:style w:type="character" w:customStyle="1" w:styleId="QuoteChar">
    <w:name w:val="Quote Char"/>
    <w:basedOn w:val="DefaultParagraphFont"/>
    <w:link w:val="Quote"/>
    <w:uiPriority w:val="29"/>
    <w:rsid w:val="004C01C2"/>
    <w:rPr>
      <w:i/>
      <w:iCs/>
      <w:color w:val="404040" w:themeColor="text1" w:themeTint="BF"/>
    </w:rPr>
  </w:style>
  <w:style w:type="paragraph" w:styleId="ListParagraph">
    <w:name w:val="List Paragraph"/>
    <w:basedOn w:val="Normal"/>
    <w:uiPriority w:val="34"/>
    <w:qFormat/>
    <w:rsid w:val="004C01C2"/>
    <w:pPr>
      <w:ind w:left="720"/>
      <w:contextualSpacing/>
    </w:pPr>
  </w:style>
  <w:style w:type="character" w:styleId="IntenseEmphasis">
    <w:name w:val="Intense Emphasis"/>
    <w:basedOn w:val="DefaultParagraphFont"/>
    <w:uiPriority w:val="21"/>
    <w:qFormat/>
    <w:rsid w:val="004C01C2"/>
    <w:rPr>
      <w:i/>
      <w:iCs/>
      <w:color w:val="0F4761" w:themeColor="accent1" w:themeShade="BF"/>
    </w:rPr>
  </w:style>
  <w:style w:type="paragraph" w:styleId="IntenseQuote">
    <w:name w:val="Intense Quote"/>
    <w:basedOn w:val="Normal"/>
    <w:next w:val="Normal"/>
    <w:link w:val="IntenseQuoteChar"/>
    <w:uiPriority w:val="30"/>
    <w:qFormat/>
    <w:rsid w:val="004C0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1C2"/>
    <w:rPr>
      <w:i/>
      <w:iCs/>
      <w:color w:val="0F4761" w:themeColor="accent1" w:themeShade="BF"/>
    </w:rPr>
  </w:style>
  <w:style w:type="character" w:styleId="IntenseReference">
    <w:name w:val="Intense Reference"/>
    <w:basedOn w:val="DefaultParagraphFont"/>
    <w:uiPriority w:val="32"/>
    <w:qFormat/>
    <w:rsid w:val="004C01C2"/>
    <w:rPr>
      <w:b/>
      <w:bCs/>
      <w:smallCaps/>
      <w:color w:val="0F4761" w:themeColor="accent1" w:themeShade="BF"/>
      <w:spacing w:val="5"/>
    </w:rPr>
  </w:style>
  <w:style w:type="paragraph" w:styleId="NoSpacing">
    <w:name w:val="No Spacing"/>
    <w:link w:val="NoSpacingChar"/>
    <w:uiPriority w:val="1"/>
    <w:qFormat/>
    <w:rsid w:val="006E608F"/>
    <w:pPr>
      <w:spacing w:after="0" w:line="240" w:lineRule="auto"/>
    </w:pPr>
    <w:rPr>
      <w:rFonts w:eastAsiaTheme="minorEastAsia"/>
      <w:lang w:val="en-US"/>
      <w14:ligatures w14:val="none"/>
    </w:rPr>
  </w:style>
  <w:style w:type="character" w:customStyle="1" w:styleId="NoSpacingChar">
    <w:name w:val="No Spacing Char"/>
    <w:basedOn w:val="DefaultParagraphFont"/>
    <w:link w:val="NoSpacing"/>
    <w:uiPriority w:val="1"/>
    <w:rsid w:val="006E608F"/>
    <w:rPr>
      <w:rFonts w:eastAsiaTheme="minorEastAsia"/>
      <w:lang w:val="en-US"/>
      <w14:ligatures w14:val="none"/>
    </w:rPr>
  </w:style>
  <w:style w:type="paragraph" w:styleId="Revision">
    <w:name w:val="Revision"/>
    <w:hidden/>
    <w:uiPriority w:val="99"/>
    <w:semiHidden/>
    <w:rsid w:val="002B5EF6"/>
    <w:pPr>
      <w:spacing w:after="0" w:line="240" w:lineRule="auto"/>
    </w:pPr>
  </w:style>
  <w:style w:type="paragraph" w:styleId="Header">
    <w:name w:val="header"/>
    <w:basedOn w:val="Normal"/>
    <w:link w:val="HeaderChar"/>
    <w:uiPriority w:val="99"/>
    <w:unhideWhenUsed/>
    <w:rsid w:val="001D7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317"/>
  </w:style>
  <w:style w:type="paragraph" w:styleId="Footer">
    <w:name w:val="footer"/>
    <w:basedOn w:val="Normal"/>
    <w:link w:val="FooterChar"/>
    <w:uiPriority w:val="99"/>
    <w:unhideWhenUsed/>
    <w:rsid w:val="001D7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317"/>
  </w:style>
  <w:style w:type="character" w:styleId="CommentReference">
    <w:name w:val="annotation reference"/>
    <w:basedOn w:val="DefaultParagraphFont"/>
    <w:uiPriority w:val="99"/>
    <w:semiHidden/>
    <w:unhideWhenUsed/>
    <w:rsid w:val="00134161"/>
    <w:rPr>
      <w:sz w:val="16"/>
      <w:szCs w:val="16"/>
    </w:rPr>
  </w:style>
  <w:style w:type="paragraph" w:styleId="CommentText">
    <w:name w:val="annotation text"/>
    <w:basedOn w:val="Normal"/>
    <w:link w:val="CommentTextChar"/>
    <w:uiPriority w:val="99"/>
    <w:unhideWhenUsed/>
    <w:rsid w:val="00134161"/>
    <w:pPr>
      <w:spacing w:line="240" w:lineRule="auto"/>
    </w:pPr>
    <w:rPr>
      <w:sz w:val="20"/>
      <w:szCs w:val="20"/>
    </w:rPr>
  </w:style>
  <w:style w:type="character" w:customStyle="1" w:styleId="CommentTextChar">
    <w:name w:val="Comment Text Char"/>
    <w:basedOn w:val="DefaultParagraphFont"/>
    <w:link w:val="CommentText"/>
    <w:uiPriority w:val="99"/>
    <w:rsid w:val="00134161"/>
    <w:rPr>
      <w:sz w:val="20"/>
      <w:szCs w:val="20"/>
    </w:rPr>
  </w:style>
  <w:style w:type="paragraph" w:styleId="CommentSubject">
    <w:name w:val="annotation subject"/>
    <w:basedOn w:val="CommentText"/>
    <w:next w:val="CommentText"/>
    <w:link w:val="CommentSubjectChar"/>
    <w:uiPriority w:val="99"/>
    <w:semiHidden/>
    <w:unhideWhenUsed/>
    <w:rsid w:val="00134161"/>
    <w:rPr>
      <w:b/>
      <w:bCs/>
    </w:rPr>
  </w:style>
  <w:style w:type="character" w:customStyle="1" w:styleId="CommentSubjectChar">
    <w:name w:val="Comment Subject Char"/>
    <w:basedOn w:val="CommentTextChar"/>
    <w:link w:val="CommentSubject"/>
    <w:uiPriority w:val="99"/>
    <w:semiHidden/>
    <w:rsid w:val="00134161"/>
    <w:rPr>
      <w:b/>
      <w:bCs/>
      <w:sz w:val="20"/>
      <w:szCs w:val="20"/>
    </w:rPr>
  </w:style>
  <w:style w:type="character" w:styleId="LineNumber">
    <w:name w:val="line number"/>
    <w:basedOn w:val="DefaultParagraphFont"/>
    <w:uiPriority w:val="99"/>
    <w:semiHidden/>
    <w:unhideWhenUsed/>
    <w:rsid w:val="00F83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0CA346-4183-4BAE-A3DE-8EFD78DD98DF}">
  <ds:schemaRefs>
    <ds:schemaRef ds:uri="http://schemas.microsoft.com/sharepoint/v3/contenttype/forms"/>
  </ds:schemaRefs>
</ds:datastoreItem>
</file>

<file path=customXml/itemProps2.xml><?xml version="1.0" encoding="utf-8"?>
<ds:datastoreItem xmlns:ds="http://schemas.openxmlformats.org/officeDocument/2006/customXml" ds:itemID="{756B722C-4B24-409B-956B-303825985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C285A-38A6-4344-87BB-6B95CF36CAB7}">
  <ds:schemaRefs>
    <ds:schemaRef ds:uri="http://schemas.openxmlformats.org/officeDocument/2006/bibliography"/>
  </ds:schemaRefs>
</ds:datastoreItem>
</file>

<file path=customXml/itemProps4.xml><?xml version="1.0" encoding="utf-8"?>
<ds:datastoreItem xmlns:ds="http://schemas.openxmlformats.org/officeDocument/2006/customXml" ds:itemID="{9FBE5F74-2E02-45FF-A4CF-21888D55DE14}">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7</cp:revision>
  <dcterms:created xsi:type="dcterms:W3CDTF">2026-03-26T17:31:00Z</dcterms:created>
  <dcterms:modified xsi:type="dcterms:W3CDTF">2026-04-02T16:38:00Z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