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BA780" w14:textId="77777777" w:rsidR="00CB74E5" w:rsidRPr="00CB74E5" w:rsidRDefault="00CB74E5" w:rsidP="00CB74E5">
      <w:r w:rsidRPr="00CB74E5">
        <w:rPr>
          <w:b/>
          <w:bCs/>
        </w:rPr>
        <w:t>CRTC INTERCONNECTION STEERING COMMITTEE</w:t>
      </w:r>
    </w:p>
    <w:p w14:paraId="4DA599DD" w14:textId="77777777" w:rsidR="00CB74E5" w:rsidRPr="00CB74E5" w:rsidRDefault="00CB74E5" w:rsidP="00CB74E5">
      <w:r w:rsidRPr="00CB74E5">
        <w:rPr>
          <w:b/>
          <w:bCs/>
          <w:u w:val="single"/>
        </w:rPr>
        <w:t>CONTRIBUTION FORM:</w:t>
      </w:r>
    </w:p>
    <w:p w14:paraId="650C8E3F" w14:textId="094EC3DA" w:rsidR="00CB74E5" w:rsidRPr="00C57D04" w:rsidRDefault="00CB74E5" w:rsidP="00CB74E5">
      <w:r w:rsidRPr="00CB74E5">
        <w:rPr>
          <w:b/>
          <w:bCs/>
        </w:rPr>
        <w:t>Working Group</w:t>
      </w:r>
      <w:r w:rsidRPr="00C57D04">
        <w:rPr>
          <w:b/>
          <w:bCs/>
        </w:rPr>
        <w:t>:         </w:t>
      </w:r>
      <w:r w:rsidR="003C6231" w:rsidRPr="00C57D04">
        <w:rPr>
          <w:b/>
          <w:bCs/>
        </w:rPr>
        <w:t>CSCN</w:t>
      </w:r>
      <w:r w:rsidRPr="00C57D04">
        <w:rPr>
          <w:b/>
          <w:bCs/>
        </w:rPr>
        <w:t>                                             Date of Submission:</w:t>
      </w:r>
      <w:r w:rsidR="003C6231" w:rsidRPr="00C57D04">
        <w:rPr>
          <w:b/>
          <w:bCs/>
        </w:rPr>
        <w:t xml:space="preserve">  </w:t>
      </w:r>
      <w:r w:rsidR="00C57D04" w:rsidRPr="00C57D04">
        <w:rPr>
          <w:b/>
          <w:bCs/>
        </w:rPr>
        <w:t>2026-09-11</w:t>
      </w:r>
    </w:p>
    <w:p w14:paraId="2DB9F45C" w14:textId="2E2458D8" w:rsidR="00CB74E5" w:rsidRPr="00C57D04" w:rsidRDefault="00CB74E5" w:rsidP="00CB74E5">
      <w:r w:rsidRPr="00C57D04">
        <w:rPr>
          <w:b/>
          <w:bCs/>
        </w:rPr>
        <w:t>Contribution #:</w:t>
      </w:r>
      <w:r w:rsidR="003C6231" w:rsidRPr="00C57D04">
        <w:rPr>
          <w:b/>
          <w:bCs/>
        </w:rPr>
        <w:tab/>
      </w:r>
      <w:r w:rsidR="00B22E1F" w:rsidRPr="00C57D04">
        <w:rPr>
          <w:b/>
          <w:bCs/>
        </w:rPr>
        <w:t>329A</w:t>
      </w:r>
    </w:p>
    <w:p w14:paraId="51E02F5C" w14:textId="39DA4508" w:rsidR="00CB74E5" w:rsidRPr="00CB74E5" w:rsidRDefault="00CB74E5" w:rsidP="00CB74E5">
      <w:r w:rsidRPr="00C57D04">
        <w:rPr>
          <w:b/>
          <w:bCs/>
        </w:rPr>
        <w:t>TIF #:         </w:t>
      </w:r>
      <w:r w:rsidR="003C6231" w:rsidRPr="00C57D04">
        <w:rPr>
          <w:b/>
          <w:bCs/>
        </w:rPr>
        <w:t>127</w:t>
      </w:r>
      <w:r w:rsidRPr="00C57D04">
        <w:rPr>
          <w:b/>
          <w:bCs/>
        </w:rPr>
        <w:t>                                                                File ID:</w:t>
      </w:r>
      <w:r w:rsidR="003C6231" w:rsidRPr="00C57D04">
        <w:rPr>
          <w:b/>
          <w:bCs/>
        </w:rPr>
        <w:t xml:space="preserve">  </w:t>
      </w:r>
      <w:r w:rsidR="00B22E1F" w:rsidRPr="00C57D04">
        <w:rPr>
          <w:b/>
          <w:bCs/>
        </w:rPr>
        <w:t>CNCO329A</w:t>
      </w:r>
    </w:p>
    <w:p w14:paraId="2085B045" w14:textId="2FFD8247" w:rsidR="00CB74E5" w:rsidRPr="00CB74E5" w:rsidRDefault="00CB74E5" w:rsidP="00CB74E5">
      <w:r w:rsidRPr="00CB74E5">
        <w:rPr>
          <w:b/>
          <w:bCs/>
        </w:rPr>
        <w:t>Task Title:</w:t>
      </w:r>
      <w:r w:rsidR="00944516">
        <w:rPr>
          <w:b/>
          <w:bCs/>
        </w:rPr>
        <w:t xml:space="preserve">  Updating the IMSI Guideline to remove MNC reservations</w:t>
      </w:r>
    </w:p>
    <w:p w14:paraId="43C8045C" w14:textId="186999FE" w:rsidR="00CB74E5" w:rsidRPr="00CB74E5" w:rsidRDefault="00CB74E5" w:rsidP="00CB74E5">
      <w:r w:rsidRPr="00CB74E5">
        <w:rPr>
          <w:b/>
          <w:bCs/>
        </w:rPr>
        <w:t>Related to Task(s) ID:</w:t>
      </w:r>
      <w:r w:rsidR="00944516">
        <w:rPr>
          <w:b/>
          <w:bCs/>
        </w:rPr>
        <w:t xml:space="preserve">  N/A</w:t>
      </w:r>
    </w:p>
    <w:p w14:paraId="6B5C0739" w14:textId="77777777" w:rsidR="00CB74E5" w:rsidRPr="00CB74E5" w:rsidRDefault="00CB74E5" w:rsidP="00CB74E5">
      <w:r w:rsidRPr="00CB74E5">
        <w:rPr>
          <w:b/>
          <w:bCs/>
        </w:rPr>
        <w:t>Contributor:</w:t>
      </w:r>
    </w:p>
    <w:p w14:paraId="448E12B0" w14:textId="729BCBCE" w:rsidR="00CB74E5" w:rsidRPr="00CB74E5" w:rsidRDefault="00CB74E5" w:rsidP="00CB74E5">
      <w:r w:rsidRPr="00CB74E5">
        <w:rPr>
          <w:b/>
          <w:bCs/>
        </w:rPr>
        <w:t>            Name:</w:t>
      </w:r>
      <w:r w:rsidR="00944516">
        <w:rPr>
          <w:b/>
          <w:bCs/>
        </w:rPr>
        <w:tab/>
      </w:r>
      <w:r w:rsidR="00944516">
        <w:rPr>
          <w:b/>
          <w:bCs/>
        </w:rPr>
        <w:tab/>
        <w:t>David Comrie</w:t>
      </w:r>
    </w:p>
    <w:p w14:paraId="196FC2E1" w14:textId="4588ED48" w:rsidR="00CB74E5" w:rsidRPr="00CB74E5" w:rsidRDefault="00CB74E5" w:rsidP="00CB74E5">
      <w:r w:rsidRPr="00CB74E5">
        <w:rPr>
          <w:b/>
          <w:bCs/>
        </w:rPr>
        <w:t>            Company:</w:t>
      </w:r>
      <w:r w:rsidR="00944516">
        <w:rPr>
          <w:b/>
          <w:bCs/>
        </w:rPr>
        <w:tab/>
        <w:t>CNA</w:t>
      </w:r>
    </w:p>
    <w:p w14:paraId="1130FC9C" w14:textId="330885D2" w:rsidR="00CB74E5" w:rsidRPr="00CB74E5" w:rsidRDefault="00CB74E5" w:rsidP="00CB74E5">
      <w:r w:rsidRPr="00CB74E5">
        <w:rPr>
          <w:b/>
          <w:bCs/>
        </w:rPr>
        <w:t>            E-mail:</w:t>
      </w:r>
      <w:r w:rsidR="00944516">
        <w:rPr>
          <w:b/>
          <w:bCs/>
        </w:rPr>
        <w:tab/>
      </w:r>
      <w:r w:rsidR="00944516">
        <w:rPr>
          <w:b/>
          <w:bCs/>
        </w:rPr>
        <w:tab/>
      </w:r>
      <w:hyperlink r:id="rId7" w:history="1">
        <w:r w:rsidR="00944516" w:rsidRPr="00F8282D">
          <w:rPr>
            <w:rStyle w:val="Hyperlink"/>
            <w:b/>
            <w:bCs/>
          </w:rPr>
          <w:t>David.comrie@cnac.ca</w:t>
        </w:r>
      </w:hyperlink>
      <w:r w:rsidR="00944516">
        <w:rPr>
          <w:b/>
          <w:bCs/>
        </w:rPr>
        <w:t xml:space="preserve"> </w:t>
      </w:r>
    </w:p>
    <w:p w14:paraId="1F579F40" w14:textId="006EBB09" w:rsidR="00CB74E5" w:rsidRPr="00CB74E5" w:rsidRDefault="00CB74E5" w:rsidP="00CB74E5">
      <w:r w:rsidRPr="00CB74E5">
        <w:rPr>
          <w:b/>
          <w:bCs/>
        </w:rPr>
        <w:t>Distribution to:</w:t>
      </w:r>
      <w:r w:rsidR="00944516">
        <w:rPr>
          <w:b/>
          <w:bCs/>
        </w:rPr>
        <w:tab/>
        <w:t>CSCN</w:t>
      </w:r>
    </w:p>
    <w:p w14:paraId="7F852506" w14:textId="17666636" w:rsidR="00CB74E5" w:rsidRPr="001C68CC" w:rsidRDefault="00CB74E5" w:rsidP="00CB74E5">
      <w:pPr>
        <w:rPr>
          <w:i/>
          <w:iCs/>
        </w:rPr>
      </w:pPr>
      <w:r w:rsidRPr="00CB74E5">
        <w:rPr>
          <w:b/>
          <w:bCs/>
        </w:rPr>
        <w:t>Subject:</w:t>
      </w:r>
      <w:r w:rsidR="00944516">
        <w:rPr>
          <w:b/>
          <w:bCs/>
        </w:rPr>
        <w:t xml:space="preserve">  </w:t>
      </w:r>
      <w:r w:rsidR="008E1585" w:rsidRPr="008E1585">
        <w:rPr>
          <w:b/>
          <w:bCs/>
        </w:rPr>
        <w:t>TIF 127 report and revised IMSI Assignment Guideline removing the MNC reservation option</w:t>
      </w:r>
    </w:p>
    <w:p w14:paraId="3E4B5066" w14:textId="0A18E047" w:rsidR="00CB74E5" w:rsidRDefault="00CB74E5">
      <w:r>
        <w:br w:type="page"/>
      </w:r>
    </w:p>
    <w:p w14:paraId="40D10F7F" w14:textId="77777777" w:rsidR="009E54B7" w:rsidRPr="009E54B7" w:rsidRDefault="009E54B7" w:rsidP="009E54B7">
      <w:r w:rsidRPr="009E54B7">
        <w:rPr>
          <w:b/>
          <w:bCs/>
        </w:rPr>
        <w:lastRenderedPageBreak/>
        <w:t>CRTC INTERCONNECTION STEERING COMMITTEE</w:t>
      </w:r>
    </w:p>
    <w:p w14:paraId="2F4C5F64" w14:textId="77777777" w:rsidR="009E54B7" w:rsidRPr="009E54B7" w:rsidRDefault="009E54B7" w:rsidP="009E54B7">
      <w:r w:rsidRPr="009E54B7">
        <w:rPr>
          <w:b/>
          <w:bCs/>
          <w:u w:val="single"/>
        </w:rPr>
        <w:t>TIF REPORT</w:t>
      </w:r>
    </w:p>
    <w:p w14:paraId="1FF45A85" w14:textId="7F8A0EB3" w:rsidR="009E54B7" w:rsidRPr="009E54B7" w:rsidRDefault="009E54B7" w:rsidP="009E54B7">
      <w:r w:rsidRPr="009E54B7">
        <w:rPr>
          <w:b/>
          <w:bCs/>
        </w:rPr>
        <w:t>Date Submitted:              </w:t>
      </w:r>
      <w:r w:rsidRPr="008E1585">
        <w:rPr>
          <w:b/>
          <w:bCs/>
          <w:highlight w:val="yellow"/>
        </w:rPr>
        <w:t>YYYY-MM-DD</w:t>
      </w:r>
      <w:r w:rsidRPr="009E54B7">
        <w:rPr>
          <w:b/>
          <w:bCs/>
        </w:rPr>
        <w:t>   </w:t>
      </w:r>
    </w:p>
    <w:p w14:paraId="7C4155F6" w14:textId="0214267E" w:rsidR="009E54B7" w:rsidRPr="009E54B7" w:rsidRDefault="009E54B7" w:rsidP="009E54B7">
      <w:r w:rsidRPr="009E54B7">
        <w:rPr>
          <w:b/>
          <w:bCs/>
        </w:rPr>
        <w:t>WORKING GROUP:</w:t>
      </w:r>
      <w:r>
        <w:rPr>
          <w:b/>
          <w:bCs/>
        </w:rPr>
        <w:tab/>
        <w:t>CSCN</w:t>
      </w:r>
    </w:p>
    <w:p w14:paraId="718BC0AA" w14:textId="6E6B173A" w:rsidR="009E54B7" w:rsidRPr="009E54B7" w:rsidRDefault="009E54B7" w:rsidP="009E54B7">
      <w:r w:rsidRPr="009E54B7">
        <w:rPr>
          <w:b/>
          <w:bCs/>
        </w:rPr>
        <w:t>REPORT #:         </w:t>
      </w:r>
      <w:r w:rsidRPr="008E1585">
        <w:rPr>
          <w:b/>
          <w:bCs/>
          <w:highlight w:val="yellow"/>
        </w:rPr>
        <w:t>XXXA</w:t>
      </w:r>
      <w:r w:rsidRPr="009E54B7">
        <w:rPr>
          <w:b/>
          <w:bCs/>
        </w:rPr>
        <w:t>                                                                 File ID:</w:t>
      </w:r>
      <w:r>
        <w:rPr>
          <w:b/>
          <w:bCs/>
        </w:rPr>
        <w:tab/>
      </w:r>
      <w:r w:rsidRPr="008E1585">
        <w:rPr>
          <w:b/>
          <w:bCs/>
          <w:highlight w:val="yellow"/>
        </w:rPr>
        <w:t>CNREXXXA</w:t>
      </w:r>
    </w:p>
    <w:p w14:paraId="196B352B" w14:textId="1D66F7A9" w:rsidR="009E54B7" w:rsidRPr="009E54B7" w:rsidRDefault="009E54B7" w:rsidP="009E54B7">
      <w:r w:rsidRPr="009E54B7">
        <w:rPr>
          <w:b/>
          <w:bCs/>
        </w:rPr>
        <w:t>REPORT TITLE</w:t>
      </w:r>
      <w:r w:rsidRPr="009E54B7">
        <w:t>:</w:t>
      </w:r>
      <w:r>
        <w:tab/>
      </w:r>
    </w:p>
    <w:p w14:paraId="40E36C64" w14:textId="4E6BE5FB" w:rsidR="009E54B7" w:rsidRPr="009E54B7" w:rsidRDefault="009E54B7" w:rsidP="009E54B7">
      <w:r w:rsidRPr="009E54B7">
        <w:rPr>
          <w:b/>
          <w:bCs/>
        </w:rPr>
        <w:t>OUTCOME: CONSENSUS</w:t>
      </w:r>
    </w:p>
    <w:p w14:paraId="6FC213E3" w14:textId="3DEF4F1C" w:rsidR="009E54B7" w:rsidRPr="009E54B7" w:rsidRDefault="009E54B7" w:rsidP="009E54B7">
      <w:r w:rsidRPr="009E54B7">
        <w:rPr>
          <w:b/>
          <w:bCs/>
        </w:rPr>
        <w:t>RELATED TASK(s) #:</w:t>
      </w:r>
      <w:r w:rsidR="0097296C">
        <w:rPr>
          <w:b/>
          <w:bCs/>
        </w:rPr>
        <w:t xml:space="preserve"> N/A</w:t>
      </w:r>
    </w:p>
    <w:p w14:paraId="0381EA53" w14:textId="77777777" w:rsidR="009E54B7" w:rsidRDefault="009E54B7" w:rsidP="009E54B7">
      <w:pPr>
        <w:rPr>
          <w:b/>
          <w:bCs/>
        </w:rPr>
      </w:pPr>
      <w:r w:rsidRPr="009E54B7">
        <w:rPr>
          <w:b/>
          <w:bCs/>
        </w:rPr>
        <w:t>BACKGROUND:</w:t>
      </w:r>
    </w:p>
    <w:p w14:paraId="3EFDA0DE" w14:textId="77777777" w:rsidR="00013DB9" w:rsidRDefault="00013DB9" w:rsidP="00013DB9">
      <w:r>
        <w:t xml:space="preserve">TIF 127 was established to review and remove the Mobile Network Code (MNC) reservation option from the </w:t>
      </w:r>
      <w:r w:rsidRPr="00F14BA2">
        <w:rPr>
          <w:i/>
          <w:iCs/>
        </w:rPr>
        <w:t>Canadian International Mobile Subscription Identity (IMSI) Assignment Guideline</w:t>
      </w:r>
      <w:r>
        <w:t>. The CNA had received Form A requests for MNC assignments from applicants that did not meet the eligibility criteria. In some cases, after being advised that they were ineligible for an assignment, applicants changed their request to an MNC reservation.</w:t>
      </w:r>
    </w:p>
    <w:p w14:paraId="114EEBBC" w14:textId="23113067" w:rsidR="00013DB9" w:rsidRPr="009E54B7" w:rsidRDefault="00013DB9" w:rsidP="00013DB9">
      <w:r>
        <w:t>The Guideline was less specific about eligibility for a reservation than for an assignment, although the CNA had traditionally denied reservation requests where the applicant would not qualify for an assignment. The CSCN also noted that an eligible applicant is given 12 months after assignment to place an MNC in service, with extensions available in appropriate circumstances. The CSCN therefore considered a separate MNC reservation process unnecessary.</w:t>
      </w:r>
    </w:p>
    <w:p w14:paraId="2A071333" w14:textId="77777777" w:rsidR="009E54B7" w:rsidRDefault="009E54B7" w:rsidP="009E54B7">
      <w:pPr>
        <w:rPr>
          <w:b/>
          <w:bCs/>
        </w:rPr>
      </w:pPr>
      <w:r w:rsidRPr="009E54B7">
        <w:rPr>
          <w:b/>
          <w:bCs/>
        </w:rPr>
        <w:t>FACTORS:</w:t>
      </w:r>
    </w:p>
    <w:p w14:paraId="5A1E9086" w14:textId="77777777" w:rsidR="006D5426" w:rsidRDefault="006D5426" w:rsidP="006D5426">
      <w:r>
        <w:t>MNCs are a finite public numbering resource and should be administered efficiently and consistently with the eligibility criteria in the Guideline.</w:t>
      </w:r>
    </w:p>
    <w:p w14:paraId="619B44E3" w14:textId="77777777" w:rsidR="006D5426" w:rsidRDefault="006D5426" w:rsidP="006D5426">
      <w:r>
        <w:t xml:space="preserve">The reservation option can create an avenue for an otherwise ineligible applicant to attempt to hold an MNC or obtain </w:t>
      </w:r>
      <w:proofErr w:type="gramStart"/>
      <w:r>
        <w:t>a particular</w:t>
      </w:r>
      <w:proofErr w:type="gramEnd"/>
      <w:r>
        <w:t xml:space="preserve"> ('vanity') MNC without qualifying for assignment.</w:t>
      </w:r>
    </w:p>
    <w:p w14:paraId="1CAE9AFF" w14:textId="77777777" w:rsidR="006D5426" w:rsidRDefault="006D5426" w:rsidP="006D5426">
      <w:r>
        <w:t>Eligible applicants already receive a substantial implementation period after assignment, so removal of the reservation process does not prevent a qualified applicant from obtaining an MNC in advance of deployment.</w:t>
      </w:r>
    </w:p>
    <w:p w14:paraId="04DAE184" w14:textId="717CFD01" w:rsidR="006D5426" w:rsidRPr="009E54B7" w:rsidRDefault="006D5426" w:rsidP="006D5426">
      <w:r>
        <w:t>References to resources that are 'reserved' or set aside for other administrative purposes are not affected; the proposed changes are limited to the applicant MNC reservation process.</w:t>
      </w:r>
    </w:p>
    <w:p w14:paraId="2230495A" w14:textId="77777777" w:rsidR="00F14BA2" w:rsidRDefault="009E54B7" w:rsidP="00AB1963">
      <w:pPr>
        <w:rPr>
          <w:b/>
          <w:bCs/>
        </w:rPr>
      </w:pPr>
      <w:r w:rsidRPr="009E54B7">
        <w:rPr>
          <w:b/>
          <w:bCs/>
        </w:rPr>
        <w:t>ALTERNATIVES:</w:t>
      </w:r>
    </w:p>
    <w:p w14:paraId="72967B1C" w14:textId="4A1EFF2D" w:rsidR="00AB1963" w:rsidRDefault="00AB1963" w:rsidP="00AB1963">
      <w:r>
        <w:t>Retain the existing MNC reservation process and clarify the eligibility criteria for reservation requests.</w:t>
      </w:r>
    </w:p>
    <w:p w14:paraId="5CAE342E" w14:textId="77777777" w:rsidR="009E54B7" w:rsidRDefault="009E54B7" w:rsidP="009E54B7">
      <w:pPr>
        <w:rPr>
          <w:b/>
          <w:bCs/>
        </w:rPr>
      </w:pPr>
      <w:r w:rsidRPr="009E54B7">
        <w:rPr>
          <w:b/>
          <w:bCs/>
        </w:rPr>
        <w:t>ANALYSIS:</w:t>
      </w:r>
    </w:p>
    <w:p w14:paraId="4C30C24E" w14:textId="77777777" w:rsidR="00A72BF2" w:rsidRDefault="00A72BF2" w:rsidP="00A72BF2">
      <w:r>
        <w:lastRenderedPageBreak/>
        <w:t>The proposed revisions remove the MNC reservation mechanism throughout the Guideline while retaining the existing assignment, information change, return, deployment, extension and reclamation processes. The title of Form A is updated in the table of contents and in sections 7.6, 8.2, 9.2 and 9.3.3. Section 10.4.2 is revised to remove the reference to applicant reservations when determining which MNCs are unavailable for sequential assignment.</w:t>
      </w:r>
    </w:p>
    <w:p w14:paraId="059AF98A" w14:textId="77777777" w:rsidR="00A72BF2" w:rsidRDefault="00A72BF2" w:rsidP="00A72BF2">
      <w:r>
        <w:t>Appendix 3 is revised so the Railway or Electricity Operator certification requirements address an MNC assignment application only. The Canadian Application Forms section and Form A remove the reservation application type, instructions and fields. Form B removes the reservation response fields and the requirement that a reserved MNC be applied for within 12 months.</w:t>
      </w:r>
    </w:p>
    <w:p w14:paraId="61618A36" w14:textId="2563D663" w:rsidR="00A72BF2" w:rsidRPr="009E54B7" w:rsidRDefault="00A72BF2" w:rsidP="00A72BF2">
      <w:r>
        <w:t>Minor housekeeping edits in the redline replace 'Mail, fax, or e-mail' with 'Send' and correct a punctuation error in Appendix 3; these do not change the substantive eligibility or assignment criteria.</w:t>
      </w:r>
    </w:p>
    <w:p w14:paraId="2214ADF1" w14:textId="77777777" w:rsidR="009E54B7" w:rsidRDefault="009E54B7" w:rsidP="009E54B7">
      <w:pPr>
        <w:rPr>
          <w:b/>
          <w:bCs/>
        </w:rPr>
      </w:pPr>
      <w:r w:rsidRPr="009E54B7">
        <w:rPr>
          <w:b/>
          <w:bCs/>
        </w:rPr>
        <w:t>CONCLUSIONS:</w:t>
      </w:r>
    </w:p>
    <w:p w14:paraId="2EC4FD8E" w14:textId="2D2EA2AC" w:rsidR="0030646A" w:rsidRPr="009E54B7" w:rsidRDefault="0030646A" w:rsidP="009E54B7">
      <w:r w:rsidRPr="0030646A">
        <w:t>The CSCN concludes that an MNC reservation process is not required. Removing the reservation option closes a potential means of circumventing the assignment eligibility requirements, supports efficient administration of the MNC resource, and does not disadvantage qualified applicants because an assigned MNC may remain out of service for the deployment period permitted by the Guideline.</w:t>
      </w:r>
    </w:p>
    <w:p w14:paraId="0E61B93E" w14:textId="77777777" w:rsidR="009E54B7" w:rsidRDefault="009E54B7" w:rsidP="009E54B7">
      <w:pPr>
        <w:rPr>
          <w:b/>
          <w:bCs/>
        </w:rPr>
      </w:pPr>
      <w:r w:rsidRPr="009E54B7">
        <w:rPr>
          <w:b/>
          <w:bCs/>
        </w:rPr>
        <w:t>RECOMMENDATIONS:</w:t>
      </w:r>
    </w:p>
    <w:p w14:paraId="32DF9A15" w14:textId="405739FA" w:rsidR="00492C57" w:rsidRPr="009E54B7" w:rsidRDefault="00492C57" w:rsidP="009E54B7">
      <w:r w:rsidRPr="00492C57">
        <w:t>The CSCN recommends that CISC accept this consensus report and recommend</w:t>
      </w:r>
      <w:r w:rsidR="00EC2A66">
        <w:t>s</w:t>
      </w:r>
      <w:r w:rsidRPr="00492C57">
        <w:t xml:space="preserve"> that the Commission approve the attached revised </w:t>
      </w:r>
      <w:r w:rsidRPr="00F14BA2">
        <w:rPr>
          <w:i/>
          <w:iCs/>
        </w:rPr>
        <w:t>Canadian International Mobile Subscription Identity (IMSI) Assignment Guideline</w:t>
      </w:r>
      <w:r w:rsidRPr="00492C57">
        <w:t>, which removes the option to reserve an MNC and the associated reservation provisions and form fields.</w:t>
      </w:r>
    </w:p>
    <w:p w14:paraId="560C25F6" w14:textId="77777777" w:rsidR="009E54B7" w:rsidRDefault="009E54B7" w:rsidP="009E54B7">
      <w:pPr>
        <w:rPr>
          <w:b/>
          <w:bCs/>
        </w:rPr>
      </w:pPr>
      <w:r w:rsidRPr="009E54B7">
        <w:rPr>
          <w:b/>
          <w:bCs/>
        </w:rPr>
        <w:t>ATTACHMENTS:</w:t>
      </w:r>
    </w:p>
    <w:p w14:paraId="1C5768F1" w14:textId="6767488F" w:rsidR="00492C57" w:rsidRPr="009E54B7" w:rsidRDefault="005B34E7" w:rsidP="009E54B7">
      <w:r w:rsidRPr="005B34E7">
        <w:t xml:space="preserve">Revised Canadian International Mobile Subscription Identity (IMSI) Assignment </w:t>
      </w:r>
      <w:r w:rsidRPr="00F14BA2">
        <w:rPr>
          <w:i/>
          <w:iCs/>
        </w:rPr>
        <w:t>Guideline</w:t>
      </w:r>
      <w:r w:rsidRPr="005B34E7">
        <w:t xml:space="preserve"> showing the proposed TIF 127 changes </w:t>
      </w:r>
      <w:r w:rsidRPr="005B34E7">
        <w:rPr>
          <w:highlight w:val="yellow"/>
        </w:rPr>
        <w:t>(CNCO325A)</w:t>
      </w:r>
      <w:r w:rsidRPr="005B34E7">
        <w:t>.</w:t>
      </w:r>
    </w:p>
    <w:p w14:paraId="7760C893" w14:textId="77777777" w:rsidR="00C411EB" w:rsidRDefault="00C411EB"/>
    <w:sectPr w:rsidR="00C411EB" w:rsidSect="002931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9"/>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1D"/>
    <w:rsid w:val="00013DB9"/>
    <w:rsid w:val="00056FAB"/>
    <w:rsid w:val="001862DE"/>
    <w:rsid w:val="001C68CC"/>
    <w:rsid w:val="001D1F96"/>
    <w:rsid w:val="00293126"/>
    <w:rsid w:val="0030646A"/>
    <w:rsid w:val="003525B9"/>
    <w:rsid w:val="003C6231"/>
    <w:rsid w:val="00492C57"/>
    <w:rsid w:val="00513A4A"/>
    <w:rsid w:val="0054079D"/>
    <w:rsid w:val="0057521D"/>
    <w:rsid w:val="005A41CE"/>
    <w:rsid w:val="005B34E7"/>
    <w:rsid w:val="005C4076"/>
    <w:rsid w:val="00647D0D"/>
    <w:rsid w:val="006D5426"/>
    <w:rsid w:val="006F2DC2"/>
    <w:rsid w:val="00733921"/>
    <w:rsid w:val="00747DA9"/>
    <w:rsid w:val="008A31C6"/>
    <w:rsid w:val="008E1585"/>
    <w:rsid w:val="00944516"/>
    <w:rsid w:val="0097296C"/>
    <w:rsid w:val="009E4219"/>
    <w:rsid w:val="009E54B7"/>
    <w:rsid w:val="00A11CE7"/>
    <w:rsid w:val="00A72BF2"/>
    <w:rsid w:val="00AB1963"/>
    <w:rsid w:val="00AC3641"/>
    <w:rsid w:val="00B22E1F"/>
    <w:rsid w:val="00B235B8"/>
    <w:rsid w:val="00B77968"/>
    <w:rsid w:val="00C411EB"/>
    <w:rsid w:val="00C57D04"/>
    <w:rsid w:val="00CB74E5"/>
    <w:rsid w:val="00D21696"/>
    <w:rsid w:val="00D458C8"/>
    <w:rsid w:val="00D96D2B"/>
    <w:rsid w:val="00DE6BC8"/>
    <w:rsid w:val="00EC2A66"/>
    <w:rsid w:val="00ED1784"/>
    <w:rsid w:val="00EE56EB"/>
    <w:rsid w:val="00F14B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BDD4D"/>
  <w15:chartTrackingRefBased/>
  <w15:docId w15:val="{8E1790DA-71BB-417B-8FBC-65D394CC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5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21D"/>
    <w:rPr>
      <w:rFonts w:eastAsiaTheme="majorEastAsia" w:cstheme="majorBidi"/>
      <w:color w:val="272727" w:themeColor="text1" w:themeTint="D8"/>
    </w:rPr>
  </w:style>
  <w:style w:type="paragraph" w:styleId="Title">
    <w:name w:val="Title"/>
    <w:basedOn w:val="Normal"/>
    <w:next w:val="Normal"/>
    <w:link w:val="TitleChar"/>
    <w:uiPriority w:val="10"/>
    <w:qFormat/>
    <w:rsid w:val="00575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21D"/>
    <w:pPr>
      <w:spacing w:before="160"/>
      <w:jc w:val="center"/>
    </w:pPr>
    <w:rPr>
      <w:i/>
      <w:iCs/>
      <w:color w:val="404040" w:themeColor="text1" w:themeTint="BF"/>
    </w:rPr>
  </w:style>
  <w:style w:type="character" w:customStyle="1" w:styleId="QuoteChar">
    <w:name w:val="Quote Char"/>
    <w:basedOn w:val="DefaultParagraphFont"/>
    <w:link w:val="Quote"/>
    <w:uiPriority w:val="29"/>
    <w:rsid w:val="0057521D"/>
    <w:rPr>
      <w:i/>
      <w:iCs/>
      <w:color w:val="404040" w:themeColor="text1" w:themeTint="BF"/>
    </w:rPr>
  </w:style>
  <w:style w:type="paragraph" w:styleId="ListParagraph">
    <w:name w:val="List Paragraph"/>
    <w:basedOn w:val="Normal"/>
    <w:uiPriority w:val="34"/>
    <w:qFormat/>
    <w:rsid w:val="0057521D"/>
    <w:pPr>
      <w:ind w:left="720"/>
      <w:contextualSpacing/>
    </w:pPr>
  </w:style>
  <w:style w:type="character" w:styleId="IntenseEmphasis">
    <w:name w:val="Intense Emphasis"/>
    <w:basedOn w:val="DefaultParagraphFont"/>
    <w:uiPriority w:val="21"/>
    <w:qFormat/>
    <w:rsid w:val="0057521D"/>
    <w:rPr>
      <w:i/>
      <w:iCs/>
      <w:color w:val="0F4761" w:themeColor="accent1" w:themeShade="BF"/>
    </w:rPr>
  </w:style>
  <w:style w:type="paragraph" w:styleId="IntenseQuote">
    <w:name w:val="Intense Quote"/>
    <w:basedOn w:val="Normal"/>
    <w:next w:val="Normal"/>
    <w:link w:val="IntenseQuoteChar"/>
    <w:uiPriority w:val="30"/>
    <w:qFormat/>
    <w:rsid w:val="00575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21D"/>
    <w:rPr>
      <w:i/>
      <w:iCs/>
      <w:color w:val="0F4761" w:themeColor="accent1" w:themeShade="BF"/>
    </w:rPr>
  </w:style>
  <w:style w:type="character" w:styleId="IntenseReference">
    <w:name w:val="Intense Reference"/>
    <w:basedOn w:val="DefaultParagraphFont"/>
    <w:uiPriority w:val="32"/>
    <w:qFormat/>
    <w:rsid w:val="0057521D"/>
    <w:rPr>
      <w:b/>
      <w:bCs/>
      <w:smallCaps/>
      <w:color w:val="0F4761" w:themeColor="accent1" w:themeShade="BF"/>
      <w:spacing w:val="5"/>
    </w:rPr>
  </w:style>
  <w:style w:type="character" w:styleId="Hyperlink">
    <w:name w:val="Hyperlink"/>
    <w:basedOn w:val="DefaultParagraphFont"/>
    <w:uiPriority w:val="99"/>
    <w:unhideWhenUsed/>
    <w:rsid w:val="00944516"/>
    <w:rPr>
      <w:color w:val="467886" w:themeColor="hyperlink"/>
      <w:u w:val="single"/>
    </w:rPr>
  </w:style>
  <w:style w:type="character" w:styleId="UnresolvedMention">
    <w:name w:val="Unresolved Mention"/>
    <w:basedOn w:val="DefaultParagraphFont"/>
    <w:uiPriority w:val="99"/>
    <w:semiHidden/>
    <w:unhideWhenUsed/>
    <w:rsid w:val="00944516"/>
    <w:rPr>
      <w:color w:val="605E5C"/>
      <w:shd w:val="clear" w:color="auto" w:fill="E1DFDD"/>
    </w:rPr>
  </w:style>
  <w:style w:type="paragraph" w:styleId="Revision">
    <w:name w:val="Revision"/>
    <w:hidden/>
    <w:uiPriority w:val="99"/>
    <w:semiHidden/>
    <w:rsid w:val="00647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David.comrie@cnac.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8AB0A-5164-4FE6-8940-91B435152152}">
  <ds:schemaRefs>
    <ds:schemaRef ds:uri="http://schemas.microsoft.com/sharepoint/v3/contenttype/forms"/>
  </ds:schemaRefs>
</ds:datastoreItem>
</file>

<file path=customXml/itemProps2.xml><?xml version="1.0" encoding="utf-8"?>
<ds:datastoreItem xmlns:ds="http://schemas.openxmlformats.org/officeDocument/2006/customXml" ds:itemID="{6CEEDE57-569E-4F87-8E2E-D359F7A32946}">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3.xml><?xml version="1.0" encoding="utf-8"?>
<ds:datastoreItem xmlns:ds="http://schemas.openxmlformats.org/officeDocument/2006/customXml" ds:itemID="{25707D9B-D663-434F-9282-EF3C0B3FF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687</Words>
  <Characters>3916</Characters>
  <Application>Microsoft Office Word</Application>
  <DocSecurity>0</DocSecurity>
  <Lines>32</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dc:description/>
  <cp:lastModifiedBy>David Comrie</cp:lastModifiedBy>
  <cp:revision>30</cp:revision>
  <dcterms:created xsi:type="dcterms:W3CDTF">2026-05-13T15:53:00Z</dcterms:created>
  <dcterms:modified xsi:type="dcterms:W3CDTF">2026-09-11T10:58:00Z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