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421F4" w14:textId="77777777" w:rsidR="005074A4" w:rsidRDefault="009F0BF8">
      <w:pPr>
        <w:pStyle w:val="Normal1"/>
        <w:spacing w:before="240" w:after="240"/>
      </w:pPr>
      <w:r>
        <w:t>CRTC INTERCONNECTION STEERING COMMITTEE</w:t>
      </w:r>
    </w:p>
    <w:p w14:paraId="4C4421F5" w14:textId="77777777" w:rsidR="005074A4" w:rsidRDefault="009F0BF8">
      <w:pPr>
        <w:pStyle w:val="Normal1"/>
        <w:spacing w:before="240" w:after="240"/>
      </w:pPr>
      <w:r>
        <w:t>CONTRIBUTION FORM:</w:t>
      </w:r>
    </w:p>
    <w:p w14:paraId="4C4421F6" w14:textId="594E1BC6" w:rsidR="005074A4" w:rsidRDefault="009F0BF8">
      <w:pPr>
        <w:pStyle w:val="Normal1"/>
        <w:spacing w:before="240" w:after="240"/>
      </w:pPr>
      <w:r>
        <w:t xml:space="preserve">Working Group:   CSCN                                                   Date of Submission:  </w:t>
      </w:r>
      <w:r>
        <w:tab/>
        <w:t>2024-06-</w:t>
      </w:r>
      <w:r w:rsidR="00E8682B">
        <w:t>21</w:t>
      </w:r>
    </w:p>
    <w:p w14:paraId="4C4421F7" w14:textId="3F297632" w:rsidR="005074A4" w:rsidRDefault="009F0BF8">
      <w:pPr>
        <w:pStyle w:val="Normal1"/>
        <w:spacing w:before="240" w:after="240"/>
      </w:pPr>
      <w:r>
        <w:t>Contribution #:</w:t>
      </w:r>
      <w:r w:rsidR="002E6E6A">
        <w:t xml:space="preserve">  252</w:t>
      </w:r>
      <w:r w:rsidR="00E8682B">
        <w:t>B</w:t>
      </w:r>
    </w:p>
    <w:p w14:paraId="4C4421F8" w14:textId="720A7AEC" w:rsidR="005074A4" w:rsidRDefault="009F0BF8">
      <w:pPr>
        <w:pStyle w:val="Normal1"/>
        <w:spacing w:before="240" w:after="240"/>
      </w:pPr>
      <w:r>
        <w:t xml:space="preserve">TIF #:       118                                                                  File ID:   </w:t>
      </w:r>
      <w:r>
        <w:tab/>
      </w:r>
      <w:r w:rsidR="00E8682B">
        <w:t>CNCO252B</w:t>
      </w:r>
    </w:p>
    <w:p w14:paraId="4C4421F9" w14:textId="77777777" w:rsidR="005074A4" w:rsidRDefault="009F0BF8">
      <w:pPr>
        <w:pStyle w:val="Normal1"/>
        <w:spacing w:before="240" w:after="240"/>
      </w:pPr>
      <w:r>
        <w:t xml:space="preserve">Task Title:        </w:t>
      </w:r>
      <w:r>
        <w:tab/>
        <w:t>Recommendation on improving Numbering Efficiencies using Consecutive Block Assignment</w:t>
      </w:r>
    </w:p>
    <w:p w14:paraId="4C4421FA" w14:textId="77777777" w:rsidR="005074A4" w:rsidRDefault="009F0BF8">
      <w:pPr>
        <w:pStyle w:val="Normal1"/>
        <w:spacing w:before="240" w:after="240"/>
      </w:pPr>
      <w:r>
        <w:t xml:space="preserve">Related to Task(s) ID: </w:t>
      </w:r>
      <w:r>
        <w:tab/>
        <w:t>117, 119, 120</w:t>
      </w:r>
    </w:p>
    <w:p w14:paraId="4C4421FB" w14:textId="77777777" w:rsidR="005074A4" w:rsidRDefault="009F0BF8">
      <w:pPr>
        <w:pStyle w:val="Normal1"/>
        <w:spacing w:before="240" w:after="240"/>
      </w:pPr>
      <w:r>
        <w:t>Contributor:</w:t>
      </w:r>
    </w:p>
    <w:p w14:paraId="4C4421FC" w14:textId="77777777" w:rsidR="005074A4" w:rsidRDefault="009F0BF8">
      <w:pPr>
        <w:pStyle w:val="Normal1"/>
        <w:spacing w:before="240" w:after="240"/>
      </w:pPr>
      <w:r>
        <w:t xml:space="preserve">            Name:  </w:t>
      </w:r>
      <w:r>
        <w:tab/>
        <w:t>Karen Robinson, Anamika Bharti</w:t>
      </w:r>
    </w:p>
    <w:p w14:paraId="4C4421FD" w14:textId="77777777" w:rsidR="005074A4" w:rsidRDefault="009F0BF8">
      <w:pPr>
        <w:pStyle w:val="Normal1"/>
        <w:spacing w:before="240" w:after="240"/>
      </w:pPr>
      <w:r>
        <w:t xml:space="preserve">            Company:           </w:t>
      </w:r>
      <w:r>
        <w:tab/>
        <w:t>Cogeco</w:t>
      </w:r>
    </w:p>
    <w:p w14:paraId="4C4421FE" w14:textId="77777777" w:rsidR="005074A4" w:rsidRDefault="009F0BF8">
      <w:pPr>
        <w:pStyle w:val="Normal1"/>
        <w:spacing w:before="240" w:after="240"/>
      </w:pPr>
      <w:r>
        <w:t xml:space="preserve">            Address:</w:t>
      </w:r>
    </w:p>
    <w:p w14:paraId="4C4421FF" w14:textId="77777777" w:rsidR="005074A4" w:rsidRDefault="009F0BF8">
      <w:pPr>
        <w:pStyle w:val="Normal1"/>
        <w:spacing w:before="240" w:after="240"/>
      </w:pPr>
      <w:r>
        <w:t xml:space="preserve">            Tel:</w:t>
      </w:r>
    </w:p>
    <w:p w14:paraId="4C442200" w14:textId="77777777" w:rsidR="005074A4" w:rsidRDefault="009F0BF8">
      <w:pPr>
        <w:pStyle w:val="Normal1"/>
        <w:spacing w:before="240" w:after="240"/>
      </w:pPr>
      <w:r>
        <w:t xml:space="preserve">            Fax:</w:t>
      </w:r>
    </w:p>
    <w:p w14:paraId="4C442201" w14:textId="77777777" w:rsidR="005074A4" w:rsidRDefault="009F0BF8">
      <w:pPr>
        <w:pStyle w:val="Normal1"/>
        <w:spacing w:before="240" w:after="240"/>
      </w:pPr>
      <w:r>
        <w:t xml:space="preserve">            E-mail:</w:t>
      </w:r>
    </w:p>
    <w:p w14:paraId="4C442202" w14:textId="77777777" w:rsidR="005074A4" w:rsidRDefault="009F0BF8">
      <w:pPr>
        <w:pStyle w:val="Normal1"/>
        <w:spacing w:before="240" w:after="240"/>
      </w:pPr>
      <w:r>
        <w:t>Distribution to:  CSCN</w:t>
      </w:r>
    </w:p>
    <w:p w14:paraId="4C442203" w14:textId="77777777" w:rsidR="005074A4" w:rsidRDefault="009F0BF8">
      <w:pPr>
        <w:pStyle w:val="Normal1"/>
        <w:spacing w:before="240" w:after="240"/>
      </w:pPr>
      <w:r>
        <w:t xml:space="preserve">Subject:           </w:t>
      </w:r>
      <w:r>
        <w:tab/>
        <w:t xml:space="preserve"> Recommendation on improving Numbering Efficiencies using Consecutive Block Assignment </w:t>
      </w:r>
    </w:p>
    <w:p w14:paraId="4C442204" w14:textId="77777777" w:rsidR="005074A4" w:rsidRDefault="009F0BF8">
      <w:pPr>
        <w:pStyle w:val="Normal1"/>
        <w:spacing w:before="240" w:after="240"/>
      </w:pPr>
      <w:r>
        <w:t xml:space="preserve"> </w:t>
      </w:r>
    </w:p>
    <w:p w14:paraId="4C442205" w14:textId="77777777" w:rsidR="005074A4" w:rsidRDefault="009F0BF8">
      <w:pPr>
        <w:pStyle w:val="Normal1"/>
        <w:spacing w:before="240" w:after="240"/>
      </w:pPr>
      <w:r>
        <w:t xml:space="preserve"> </w:t>
      </w:r>
    </w:p>
    <w:p w14:paraId="4C442206" w14:textId="77777777" w:rsidR="005074A4" w:rsidRDefault="009F0BF8">
      <w:pPr>
        <w:pStyle w:val="Normal1"/>
        <w:spacing w:before="240" w:after="240"/>
      </w:pPr>
      <w:r>
        <w:t xml:space="preserve"> </w:t>
      </w:r>
    </w:p>
    <w:p w14:paraId="4C442207" w14:textId="77777777" w:rsidR="005074A4" w:rsidRDefault="009F0BF8">
      <w:pPr>
        <w:pStyle w:val="Normal1"/>
        <w:spacing w:before="240" w:after="240"/>
      </w:pPr>
      <w:r>
        <w:t xml:space="preserve"> </w:t>
      </w:r>
    </w:p>
    <w:p w14:paraId="4C442208" w14:textId="77777777" w:rsidR="005074A4" w:rsidRDefault="009F0BF8">
      <w:pPr>
        <w:pStyle w:val="Normal1"/>
        <w:spacing w:before="240" w:after="240"/>
      </w:pPr>
      <w:r>
        <w:t xml:space="preserve"> </w:t>
      </w:r>
    </w:p>
    <w:p w14:paraId="4C442209" w14:textId="77777777" w:rsidR="005074A4" w:rsidRDefault="009F0BF8">
      <w:pPr>
        <w:pStyle w:val="Normal1"/>
        <w:spacing w:before="240" w:after="240"/>
      </w:pPr>
      <w:r>
        <w:t xml:space="preserve"> </w:t>
      </w:r>
    </w:p>
    <w:p w14:paraId="4C44220A" w14:textId="77777777" w:rsidR="005074A4" w:rsidRDefault="009F0BF8">
      <w:pPr>
        <w:pStyle w:val="Normal1"/>
        <w:spacing w:before="240" w:after="240"/>
      </w:pPr>
      <w:r>
        <w:t xml:space="preserve"> </w:t>
      </w:r>
    </w:p>
    <w:p w14:paraId="4C44220B" w14:textId="77777777" w:rsidR="005074A4" w:rsidRDefault="009F0BF8">
      <w:pPr>
        <w:pStyle w:val="Normal1"/>
        <w:spacing w:before="240" w:after="240"/>
      </w:pPr>
      <w:r>
        <w:lastRenderedPageBreak/>
        <w:t xml:space="preserve"> </w:t>
      </w:r>
    </w:p>
    <w:p w14:paraId="4C44220C" w14:textId="77777777" w:rsidR="005074A4" w:rsidRDefault="009F0BF8">
      <w:pPr>
        <w:pStyle w:val="Normal1"/>
        <w:spacing w:before="240" w:after="240"/>
      </w:pPr>
      <w:r>
        <w:t xml:space="preserve"> </w:t>
      </w:r>
    </w:p>
    <w:p w14:paraId="4C44220D" w14:textId="77777777" w:rsidR="005074A4" w:rsidRDefault="009F0BF8">
      <w:pPr>
        <w:pStyle w:val="Normal1"/>
        <w:spacing w:before="240" w:after="240"/>
      </w:pPr>
      <w:r>
        <w:t xml:space="preserve"> </w:t>
      </w:r>
    </w:p>
    <w:p w14:paraId="4C44220E" w14:textId="77777777" w:rsidR="005074A4" w:rsidRDefault="009F0BF8">
      <w:pPr>
        <w:pStyle w:val="Normal1"/>
        <w:spacing w:before="240" w:after="240"/>
      </w:pPr>
      <w:r>
        <w:t xml:space="preserve"> </w:t>
      </w:r>
    </w:p>
    <w:p w14:paraId="4C44220F" w14:textId="77777777" w:rsidR="005074A4" w:rsidRDefault="009F0BF8">
      <w:pPr>
        <w:pStyle w:val="Normal1"/>
        <w:spacing w:before="240" w:after="240"/>
      </w:pPr>
      <w:r>
        <w:t xml:space="preserve"> </w:t>
      </w:r>
    </w:p>
    <w:p w14:paraId="4C442210" w14:textId="77777777" w:rsidR="005074A4" w:rsidRPr="009F0BF8" w:rsidRDefault="009F0BF8">
      <w:pPr>
        <w:pStyle w:val="Heading2"/>
        <w:keepNext w:val="0"/>
        <w:keepLines w:val="0"/>
        <w:spacing w:after="80"/>
        <w:rPr>
          <w:b/>
          <w:sz w:val="34"/>
          <w:szCs w:val="34"/>
        </w:rPr>
      </w:pPr>
      <w:bookmarkStart w:id="0" w:name="_gjdgxs" w:colFirst="0" w:colLast="0"/>
      <w:bookmarkEnd w:id="0"/>
      <w:r w:rsidRPr="009F0BF8">
        <w:rPr>
          <w:b/>
        </w:rPr>
        <w:t>Recommendation on improving Numbering Efficiencies using Consecutive Block Assignment</w:t>
      </w:r>
    </w:p>
    <w:p w14:paraId="4C442211" w14:textId="77777777" w:rsidR="005074A4" w:rsidRDefault="009F0BF8">
      <w:pPr>
        <w:pStyle w:val="Normal1"/>
        <w:spacing w:before="240" w:after="240"/>
      </w:pPr>
      <w:r>
        <w:t>This submission presents a proposal for sequential number assignment to improve Canadian numbering efficiencies and utilization by carriers.</w:t>
      </w:r>
    </w:p>
    <w:p w14:paraId="4C442212" w14:textId="77777777" w:rsidR="005074A4" w:rsidRDefault="009F0BF8">
      <w:pPr>
        <w:pStyle w:val="Normal1"/>
        <w:spacing w:before="240" w:after="240"/>
      </w:pPr>
      <w:r>
        <w:t xml:space="preserve"> </w:t>
      </w:r>
    </w:p>
    <w:p w14:paraId="4C442213" w14:textId="77777777" w:rsidR="005074A4" w:rsidRDefault="009F0BF8">
      <w:pPr>
        <w:pStyle w:val="Heading3"/>
        <w:keepNext w:val="0"/>
        <w:keepLines w:val="0"/>
        <w:spacing w:before="280"/>
        <w:rPr>
          <w:b/>
          <w:color w:val="3C78D8"/>
          <w:sz w:val="26"/>
          <w:szCs w:val="26"/>
        </w:rPr>
      </w:pPr>
      <w:bookmarkStart w:id="1" w:name="_30j0zll" w:colFirst="0" w:colLast="0"/>
      <w:bookmarkEnd w:id="1"/>
      <w:r>
        <w:rPr>
          <w:b/>
          <w:color w:val="3C78D8"/>
          <w:sz w:val="26"/>
          <w:szCs w:val="26"/>
        </w:rPr>
        <w:t>HIGH LEVEL analysis</w:t>
      </w:r>
    </w:p>
    <w:p w14:paraId="4C442214" w14:textId="77777777" w:rsidR="005074A4" w:rsidRDefault="009F0BF8" w:rsidP="00544297">
      <w:pPr>
        <w:rPr>
          <w:sz w:val="20"/>
          <w:szCs w:val="20"/>
        </w:rPr>
      </w:pPr>
      <w:r>
        <w:rPr>
          <w:sz w:val="20"/>
          <w:szCs w:val="20"/>
        </w:rPr>
        <w:t xml:space="preserve">This contribution suggests that there is an enhanced level of efficiency in opening the thousand blocks from their assigned NPA NXX in the sequential order (ie...block 0000-0999, 1000-1999 etc.) </w:t>
      </w:r>
    </w:p>
    <w:p w14:paraId="4C442215" w14:textId="77777777" w:rsidR="005074A4" w:rsidRDefault="009F0BF8" w:rsidP="00544297">
      <w:pPr>
        <w:rPr>
          <w:sz w:val="20"/>
          <w:szCs w:val="20"/>
        </w:rPr>
      </w:pPr>
      <w:r>
        <w:rPr>
          <w:sz w:val="20"/>
          <w:szCs w:val="20"/>
        </w:rPr>
        <w:t>The process of opening one sequential block at a time into SP’s inventory/number management systems, helps to meet their external/internal customer potential requirements for sequential numbers and it support the return of blocks with zero and/or minimizes quantity of contamination blocks, simply by strategically utilizing each block prior to opening the next block. It also provides “friendly hand-off” to the receiving SP of those returned blocks, so they too have sequential blocks for their customers.</w:t>
      </w:r>
    </w:p>
    <w:p w14:paraId="4C442216" w14:textId="77777777" w:rsidR="00522CCC" w:rsidRDefault="00522CCC">
      <w:pPr>
        <w:pStyle w:val="Normal1"/>
        <w:spacing w:before="240" w:after="240"/>
        <w:rPr>
          <w:sz w:val="20"/>
          <w:szCs w:val="20"/>
        </w:rPr>
      </w:pPr>
    </w:p>
    <w:p w14:paraId="4C442217" w14:textId="77777777" w:rsidR="00522CCC" w:rsidRDefault="00522CCC" w:rsidP="00522CCC">
      <w:pPr>
        <w:pStyle w:val="Normal1"/>
        <w:spacing w:before="240" w:after="240"/>
        <w:rPr>
          <w:sz w:val="20"/>
          <w:szCs w:val="20"/>
        </w:rPr>
      </w:pPr>
      <w:r w:rsidRPr="00522CCC">
        <w:rPr>
          <w:sz w:val="20"/>
          <w:szCs w:val="20"/>
        </w:rPr>
        <w:t>Section 4.2 of Guidelines for the Administration of Telephone Numbers</w:t>
      </w:r>
      <w:r>
        <w:rPr>
          <w:sz w:val="20"/>
          <w:szCs w:val="20"/>
        </w:rPr>
        <w:t xml:space="preserve"> From </w:t>
      </w:r>
      <w:r w:rsidRPr="00522CCC">
        <w:rPr>
          <w:sz w:val="20"/>
          <w:szCs w:val="20"/>
        </w:rPr>
        <w:t>ATIS-0300070</w:t>
      </w:r>
    </w:p>
    <w:p w14:paraId="4C442218" w14:textId="77777777" w:rsidR="00A07606" w:rsidRPr="00A07606" w:rsidRDefault="00A07606" w:rsidP="00A07606">
      <w:pPr>
        <w:pStyle w:val="Normal1"/>
        <w:spacing w:before="240" w:after="240"/>
        <w:ind w:left="720"/>
        <w:rPr>
          <w:i/>
          <w:sz w:val="20"/>
          <w:szCs w:val="20"/>
        </w:rPr>
      </w:pPr>
      <w:r w:rsidRPr="00A07606">
        <w:rPr>
          <w:i/>
          <w:sz w:val="20"/>
          <w:szCs w:val="20"/>
        </w:rPr>
        <w:t>Sequential Number Assignment is an FCC mandate which requires all SPs to first assign all available telephone numbers within an opened thousands-block before opening another thousands-block, unless the available numbers in the opened thousands-block are not sufficient to meet a customer request.  This requirement shall apply to SPs’ existing numbering resources as well as any new numbering resources obtained in the future.</w:t>
      </w:r>
    </w:p>
    <w:p w14:paraId="4C442219" w14:textId="77777777" w:rsidR="00A07606" w:rsidRPr="00A07606" w:rsidRDefault="00A07606" w:rsidP="00A07606">
      <w:pPr>
        <w:pStyle w:val="Normal1"/>
        <w:spacing w:before="240" w:after="240"/>
        <w:ind w:left="720"/>
        <w:rPr>
          <w:i/>
          <w:sz w:val="20"/>
          <w:szCs w:val="20"/>
        </w:rPr>
      </w:pPr>
      <w:r w:rsidRPr="00A07606">
        <w:rPr>
          <w:i/>
          <w:sz w:val="20"/>
          <w:szCs w:val="20"/>
        </w:rPr>
        <w:t>It follows from this definition that, under this requirement, an SP that opens a uncontaminated thousands-block prior to utilizing in its entirety a previously-opened thousands-block should be prepared to demonstrate the following exceptions to the state commission: (1) a genuine request from a customer detailing the specific need for telephone numbers; (2) The SP’s inability to meet the specific customer request for telephone numbers from the available numbers within the service provider's opened thousands-blocks.  The above exceptions do not apply to individual vanity number requests.</w:t>
      </w:r>
    </w:p>
    <w:p w14:paraId="4C44221A" w14:textId="77777777" w:rsidR="005074A4" w:rsidRDefault="00A07606" w:rsidP="00A07606">
      <w:pPr>
        <w:pStyle w:val="Normal1"/>
        <w:spacing w:before="240" w:after="240"/>
        <w:ind w:left="720"/>
        <w:rPr>
          <w:i/>
          <w:sz w:val="20"/>
          <w:szCs w:val="20"/>
        </w:rPr>
      </w:pPr>
      <w:r w:rsidRPr="00A07606">
        <w:rPr>
          <w:i/>
          <w:sz w:val="20"/>
          <w:szCs w:val="20"/>
        </w:rPr>
        <w:t xml:space="preserve">Upon a finding by a state commission that an SP inappropriately assigned telephone numbers from an uncontaminated thousands-block, the NANPA or the PA shall suspend assignment or </w:t>
      </w:r>
      <w:r w:rsidRPr="00A07606">
        <w:rPr>
          <w:i/>
          <w:sz w:val="20"/>
          <w:szCs w:val="20"/>
        </w:rPr>
        <w:lastRenderedPageBreak/>
        <w:t>allocation of any additional numbering resources to that SP in the applicable NPA until the SP demonstrates that it does not have sufficient numbering resources to meet a specific customer request.</w:t>
      </w:r>
    </w:p>
    <w:p w14:paraId="4C44221B" w14:textId="77777777" w:rsidR="005074A4" w:rsidRDefault="009F0BF8">
      <w:pPr>
        <w:pStyle w:val="Normal1"/>
        <w:spacing w:before="240" w:after="240"/>
        <w:rPr>
          <w:b/>
          <w:color w:val="3C78D8"/>
          <w:sz w:val="26"/>
          <w:szCs w:val="26"/>
        </w:rPr>
      </w:pPr>
      <w:r>
        <w:rPr>
          <w:b/>
          <w:color w:val="3C78D8"/>
          <w:sz w:val="26"/>
          <w:szCs w:val="26"/>
        </w:rPr>
        <w:t>Advantage of an early implementation of new numbering efficiencies.</w:t>
      </w:r>
    </w:p>
    <w:p w14:paraId="4C44221C" w14:textId="77777777" w:rsidR="005074A4" w:rsidRDefault="009F0BF8" w:rsidP="00544297">
      <w:pPr>
        <w:rPr>
          <w:sz w:val="20"/>
          <w:szCs w:val="20"/>
        </w:rPr>
      </w:pPr>
      <w:r>
        <w:rPr>
          <w:sz w:val="20"/>
          <w:szCs w:val="20"/>
        </w:rPr>
        <w:t xml:space="preserve">The early implementation of numbering efficiencies, may produce a larger yield of reclaimed unutilized/underutilized blocks, thus “padding” CNA’s available numbering resources in preparation of the TBP.  </w:t>
      </w:r>
    </w:p>
    <w:p w14:paraId="4C44221D" w14:textId="77777777" w:rsidR="005074A4" w:rsidRDefault="009F0BF8" w:rsidP="00544297">
      <w:pPr>
        <w:rPr>
          <w:sz w:val="20"/>
          <w:szCs w:val="20"/>
        </w:rPr>
      </w:pPr>
      <w:r>
        <w:rPr>
          <w:sz w:val="20"/>
          <w:szCs w:val="20"/>
        </w:rPr>
        <w:t>A suggested further advantage of an early implementation of sequential block assignments, is that it lends itself to a softer transition into post-launch activities.</w:t>
      </w:r>
    </w:p>
    <w:p w14:paraId="4C44221E" w14:textId="77777777" w:rsidR="005074A4" w:rsidRPr="00544297" w:rsidRDefault="005074A4" w:rsidP="00544297">
      <w:pPr>
        <w:rPr>
          <w:sz w:val="20"/>
          <w:szCs w:val="20"/>
        </w:rPr>
      </w:pPr>
      <w:bookmarkStart w:id="2" w:name="_mvhnjjen6nu8" w:colFirst="0" w:colLast="0"/>
      <w:bookmarkEnd w:id="2"/>
    </w:p>
    <w:p w14:paraId="4C44221F" w14:textId="77777777" w:rsidR="005074A4" w:rsidRDefault="005074A4">
      <w:pPr>
        <w:pStyle w:val="Normal1"/>
        <w:spacing w:before="240" w:after="240"/>
        <w:rPr>
          <w:b/>
          <w:color w:val="3C78D8"/>
          <w:sz w:val="26"/>
          <w:szCs w:val="26"/>
        </w:rPr>
      </w:pPr>
    </w:p>
    <w:p w14:paraId="4C442220" w14:textId="77777777" w:rsidR="005074A4" w:rsidRDefault="009F0BF8" w:rsidP="008C1777">
      <w:pPr>
        <w:pStyle w:val="Normal1"/>
        <w:tabs>
          <w:tab w:val="left" w:pos="7035"/>
        </w:tabs>
        <w:spacing w:before="240" w:after="240"/>
        <w:rPr>
          <w:b/>
          <w:color w:val="3C78D8"/>
          <w:sz w:val="26"/>
          <w:szCs w:val="26"/>
        </w:rPr>
      </w:pPr>
      <w:r>
        <w:rPr>
          <w:b/>
          <w:color w:val="3C78D8"/>
          <w:sz w:val="26"/>
          <w:szCs w:val="26"/>
        </w:rPr>
        <w:t>Conclusion:</w:t>
      </w:r>
      <w:r w:rsidR="008C1777">
        <w:rPr>
          <w:b/>
          <w:color w:val="3C78D8"/>
          <w:sz w:val="26"/>
          <w:szCs w:val="26"/>
        </w:rPr>
        <w:tab/>
      </w:r>
    </w:p>
    <w:p w14:paraId="4C442221" w14:textId="77777777" w:rsidR="005074A4" w:rsidRDefault="009F0BF8" w:rsidP="00544297">
      <w:pPr>
        <w:rPr>
          <w:sz w:val="20"/>
          <w:szCs w:val="20"/>
        </w:rPr>
      </w:pPr>
      <w:r>
        <w:rPr>
          <w:sz w:val="20"/>
          <w:szCs w:val="20"/>
        </w:rPr>
        <w:t xml:space="preserve">Implementing or adopting the process of sequential block assignments (regardless if done pre or post </w:t>
      </w:r>
    </w:p>
    <w:p w14:paraId="4C442222" w14:textId="77777777" w:rsidR="005074A4" w:rsidRDefault="009F0BF8" w:rsidP="00544297">
      <w:pPr>
        <w:rPr>
          <w:sz w:val="20"/>
          <w:szCs w:val="20"/>
        </w:rPr>
      </w:pPr>
      <w:r>
        <w:rPr>
          <w:sz w:val="20"/>
          <w:szCs w:val="20"/>
        </w:rPr>
        <w:t xml:space="preserve">launch) is </w:t>
      </w:r>
      <w:r w:rsidR="00B26464">
        <w:rPr>
          <w:sz w:val="20"/>
          <w:szCs w:val="20"/>
        </w:rPr>
        <w:t>recommended to improve the</w:t>
      </w:r>
      <w:r>
        <w:rPr>
          <w:sz w:val="20"/>
          <w:szCs w:val="20"/>
        </w:rPr>
        <w:t xml:space="preserve"> utilization of numbering resources by a service provider and reduce the complexity that may be associated with the ability of returning blocks.</w:t>
      </w:r>
    </w:p>
    <w:p w14:paraId="4C442223" w14:textId="77777777" w:rsidR="005074A4" w:rsidRDefault="009F0BF8" w:rsidP="00544297">
      <w:pPr>
        <w:rPr>
          <w:sz w:val="20"/>
          <w:szCs w:val="20"/>
        </w:rPr>
      </w:pPr>
      <w:r>
        <w:rPr>
          <w:sz w:val="20"/>
          <w:szCs w:val="20"/>
        </w:rPr>
        <w:t xml:space="preserve">It is also </w:t>
      </w:r>
      <w:r w:rsidR="00B26464">
        <w:rPr>
          <w:sz w:val="20"/>
          <w:szCs w:val="20"/>
        </w:rPr>
        <w:t>recommended</w:t>
      </w:r>
      <w:r>
        <w:rPr>
          <w:sz w:val="20"/>
          <w:szCs w:val="20"/>
        </w:rPr>
        <w:t xml:space="preserve"> that by adding such numbering efficiencies, would also assist in the potential receipt of a larger quantity of returned uncontaminated blocks and a lesser quantity of contaminated blocks by the PA.</w:t>
      </w:r>
    </w:p>
    <w:p w14:paraId="4C442224" w14:textId="77777777" w:rsidR="005074A4" w:rsidRDefault="009F0BF8" w:rsidP="00544297">
      <w:pPr>
        <w:rPr>
          <w:sz w:val="20"/>
          <w:szCs w:val="20"/>
        </w:rPr>
      </w:pPr>
      <w:r>
        <w:rPr>
          <w:sz w:val="20"/>
          <w:szCs w:val="20"/>
        </w:rPr>
        <w:t>Last but not least, a reduced cost for SP in doing inter-service provider ports at the time of block return.</w:t>
      </w:r>
    </w:p>
    <w:p w14:paraId="4C442225" w14:textId="77777777" w:rsidR="00AE5993" w:rsidRDefault="00AE5993">
      <w:pPr>
        <w:pStyle w:val="Normal1"/>
        <w:spacing w:before="240" w:after="240"/>
        <w:rPr>
          <w:sz w:val="20"/>
          <w:szCs w:val="20"/>
        </w:rPr>
      </w:pPr>
    </w:p>
    <w:p w14:paraId="4C442226" w14:textId="77777777" w:rsidR="005074A4" w:rsidRDefault="00AE5993">
      <w:pPr>
        <w:pStyle w:val="Normal1"/>
        <w:spacing w:before="240" w:after="240"/>
        <w:rPr>
          <w:b/>
          <w:color w:val="3C78D8"/>
          <w:sz w:val="26"/>
          <w:szCs w:val="26"/>
        </w:rPr>
      </w:pPr>
      <w:r>
        <w:rPr>
          <w:b/>
          <w:color w:val="3C78D8"/>
          <w:sz w:val="26"/>
          <w:szCs w:val="26"/>
        </w:rPr>
        <w:t>Recommendation:</w:t>
      </w:r>
    </w:p>
    <w:p w14:paraId="4C442227" w14:textId="77777777" w:rsidR="00AA26C8" w:rsidRPr="00B771C3" w:rsidRDefault="00AE5993" w:rsidP="00AA26C8">
      <w:pPr>
        <w:rPr>
          <w:sz w:val="20"/>
          <w:szCs w:val="20"/>
        </w:rPr>
      </w:pPr>
      <w:r w:rsidRPr="00EC3068">
        <w:rPr>
          <w:sz w:val="20"/>
          <w:szCs w:val="20"/>
        </w:rPr>
        <w:t>The contributi</w:t>
      </w:r>
      <w:r w:rsidR="00B26464">
        <w:rPr>
          <w:sz w:val="20"/>
          <w:szCs w:val="20"/>
        </w:rPr>
        <w:t>on recommends</w:t>
      </w:r>
      <w:r w:rsidRPr="00EC3068">
        <w:rPr>
          <w:sz w:val="20"/>
          <w:szCs w:val="20"/>
        </w:rPr>
        <w:t xml:space="preserve"> that </w:t>
      </w:r>
      <w:r w:rsidR="00273028" w:rsidRPr="00EC3068">
        <w:rPr>
          <w:sz w:val="20"/>
          <w:szCs w:val="20"/>
        </w:rPr>
        <w:t xml:space="preserve">all service </w:t>
      </w:r>
      <w:r w:rsidR="00E72F60" w:rsidRPr="00EC3068">
        <w:rPr>
          <w:sz w:val="20"/>
          <w:szCs w:val="20"/>
        </w:rPr>
        <w:t>providers</w:t>
      </w:r>
      <w:r w:rsidR="00273028" w:rsidRPr="00EC3068">
        <w:rPr>
          <w:sz w:val="20"/>
          <w:szCs w:val="20"/>
        </w:rPr>
        <w:t xml:space="preserve"> should</w:t>
      </w:r>
      <w:r w:rsidRPr="00EC3068">
        <w:rPr>
          <w:sz w:val="20"/>
          <w:szCs w:val="20"/>
        </w:rPr>
        <w:t xml:space="preserve"> </w:t>
      </w:r>
      <w:r w:rsidR="00273028" w:rsidRPr="00EC3068">
        <w:rPr>
          <w:sz w:val="20"/>
          <w:szCs w:val="20"/>
        </w:rPr>
        <w:t xml:space="preserve">open the thousand </w:t>
      </w:r>
      <w:r w:rsidR="00C57BD8" w:rsidRPr="00EC3068">
        <w:rPr>
          <w:sz w:val="20"/>
          <w:szCs w:val="20"/>
        </w:rPr>
        <w:t>blocks</w:t>
      </w:r>
      <w:r w:rsidR="00EC3068" w:rsidRPr="00EC3068">
        <w:rPr>
          <w:sz w:val="20"/>
          <w:szCs w:val="20"/>
        </w:rPr>
        <w:t xml:space="preserve"> for assignment</w:t>
      </w:r>
      <w:r w:rsidR="00273028" w:rsidRPr="00EC3068">
        <w:rPr>
          <w:sz w:val="20"/>
          <w:szCs w:val="20"/>
        </w:rPr>
        <w:t xml:space="preserve"> in the sequential order. </w:t>
      </w:r>
      <w:r w:rsidR="00AA26C8" w:rsidRPr="00B771C3">
        <w:rPr>
          <w:sz w:val="20"/>
          <w:szCs w:val="20"/>
        </w:rPr>
        <w:t xml:space="preserve">It is recommended that </w:t>
      </w:r>
      <w:r w:rsidR="00544297">
        <w:rPr>
          <w:sz w:val="20"/>
          <w:szCs w:val="20"/>
        </w:rPr>
        <w:t xml:space="preserve">the service provider allocate </w:t>
      </w:r>
      <w:r w:rsidR="001B7AE5" w:rsidRPr="001B7AE5">
        <w:rPr>
          <w:sz w:val="20"/>
          <w:szCs w:val="20"/>
        </w:rPr>
        <w:t>substantial</w:t>
      </w:r>
      <w:r w:rsidR="00B26464">
        <w:rPr>
          <w:sz w:val="20"/>
          <w:szCs w:val="20"/>
        </w:rPr>
        <w:t>ly all of</w:t>
      </w:r>
      <w:r w:rsidR="00AA26C8" w:rsidRPr="00B771C3">
        <w:rPr>
          <w:sz w:val="20"/>
          <w:szCs w:val="20"/>
        </w:rPr>
        <w:t xml:space="preserve"> the available numbers from the thousand-block prior to </w:t>
      </w:r>
      <w:r w:rsidR="00B771C3">
        <w:rPr>
          <w:sz w:val="20"/>
          <w:szCs w:val="20"/>
        </w:rPr>
        <w:t>opening</w:t>
      </w:r>
      <w:r w:rsidR="00AA26C8" w:rsidRPr="00B771C3">
        <w:rPr>
          <w:sz w:val="20"/>
          <w:szCs w:val="20"/>
        </w:rPr>
        <w:t xml:space="preserve"> another thousands-block</w:t>
      </w:r>
      <w:r w:rsidR="00B771C3">
        <w:rPr>
          <w:sz w:val="20"/>
          <w:szCs w:val="20"/>
        </w:rPr>
        <w:t xml:space="preserve"> for assignment</w:t>
      </w:r>
      <w:r w:rsidR="00AA26C8" w:rsidRPr="00B771C3">
        <w:rPr>
          <w:sz w:val="20"/>
          <w:szCs w:val="20"/>
        </w:rPr>
        <w:t xml:space="preserve">. </w:t>
      </w:r>
    </w:p>
    <w:p w14:paraId="4C442228" w14:textId="77777777" w:rsidR="00AA26C8" w:rsidRPr="00AA26C8" w:rsidRDefault="00AA26C8" w:rsidP="00AA26C8">
      <w:pPr>
        <w:rPr>
          <w:sz w:val="20"/>
          <w:szCs w:val="20"/>
        </w:rPr>
      </w:pPr>
      <w:r w:rsidRPr="00AA26C8">
        <w:rPr>
          <w:sz w:val="20"/>
          <w:szCs w:val="20"/>
        </w:rPr>
        <w:t xml:space="preserve">This applies to SPs' current numbering resources from the allocated NPA NXX, as well as any additional numbering resources </w:t>
      </w:r>
      <w:r w:rsidR="00B26464">
        <w:rPr>
          <w:sz w:val="20"/>
          <w:szCs w:val="20"/>
        </w:rPr>
        <w:t>acquired</w:t>
      </w:r>
      <w:r w:rsidRPr="00AA26C8">
        <w:rPr>
          <w:sz w:val="20"/>
          <w:szCs w:val="20"/>
        </w:rPr>
        <w:t xml:space="preserve"> in the future.</w:t>
      </w:r>
    </w:p>
    <w:p w14:paraId="4C442229" w14:textId="77777777" w:rsidR="00AE5993" w:rsidRPr="00EC3068" w:rsidRDefault="00AE5993">
      <w:pPr>
        <w:pStyle w:val="Normal1"/>
        <w:spacing w:before="240" w:after="240"/>
        <w:rPr>
          <w:sz w:val="20"/>
          <w:szCs w:val="20"/>
        </w:rPr>
      </w:pPr>
    </w:p>
    <w:sectPr w:rsidR="00AE5993" w:rsidRPr="00EC3068" w:rsidSect="005074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4A4"/>
    <w:rsid w:val="001776B1"/>
    <w:rsid w:val="001B7AE5"/>
    <w:rsid w:val="00273028"/>
    <w:rsid w:val="002E6E6A"/>
    <w:rsid w:val="004408F5"/>
    <w:rsid w:val="005074A4"/>
    <w:rsid w:val="00522CCC"/>
    <w:rsid w:val="00544297"/>
    <w:rsid w:val="00582291"/>
    <w:rsid w:val="008C1777"/>
    <w:rsid w:val="009F0BF8"/>
    <w:rsid w:val="00A07606"/>
    <w:rsid w:val="00AA26C8"/>
    <w:rsid w:val="00AC746D"/>
    <w:rsid w:val="00AE5993"/>
    <w:rsid w:val="00B26464"/>
    <w:rsid w:val="00B771C3"/>
    <w:rsid w:val="00C57BD8"/>
    <w:rsid w:val="00CC6DD2"/>
    <w:rsid w:val="00E72F60"/>
    <w:rsid w:val="00E8682B"/>
    <w:rsid w:val="00E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21F4"/>
  <w15:docId w15:val="{AB9CE1B2-61EC-4FC3-B808-52ECFB07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DD2"/>
  </w:style>
  <w:style w:type="paragraph" w:styleId="Heading1">
    <w:name w:val="heading 1"/>
    <w:basedOn w:val="Normal1"/>
    <w:next w:val="Normal1"/>
    <w:rsid w:val="005074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074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074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074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074A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074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074A4"/>
  </w:style>
  <w:style w:type="paragraph" w:styleId="Title">
    <w:name w:val="Title"/>
    <w:basedOn w:val="Normal1"/>
    <w:next w:val="Normal1"/>
    <w:rsid w:val="005074A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074A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14" ma:contentTypeDescription="Create a new document." ma:contentTypeScope="" ma:versionID="ce5b21b838dfbf37a139605a663532ca">
  <xsd:schema xmlns:xsd="http://www.w3.org/2001/XMLSchema" xmlns:xs="http://www.w3.org/2001/XMLSchema" xmlns:p="http://schemas.microsoft.com/office/2006/metadata/properties" xmlns:ns2="9cdb7451-f6bf-4ad9-8b9a-066c9dc2f437" xmlns:ns3="c8445e37-9e7b-4029-a7fd-ff4c15d32efa" targetNamespace="http://schemas.microsoft.com/office/2006/metadata/properties" ma:root="true" ma:fieldsID="b8569684236391749739f95c1c8dad3b" ns2:_="" ns3:_="">
    <xsd:import namespace="9cdb7451-f6bf-4ad9-8b9a-066c9dc2f437"/>
    <xsd:import namespace="c8445e37-9e7b-4029-a7fd-ff4c15d32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c0ce39-e4b5-4d1a-aed1-533ce97bd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5e37-9e7b-4029-a7fd-ff4c15d32e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9c46289-b7e6-473e-aef4-9f61de5a51b5}" ma:internalName="TaxCatchAll" ma:showField="CatchAllData" ma:web="c8445e37-9e7b-4029-a7fd-ff4c15d32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47782-443C-4785-9C1A-8704AAA21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04CBE-C5FA-46D1-8C21-A3E2BA2C4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b7451-f6bf-4ad9-8b9a-066c9dc2f437"/>
    <ds:schemaRef ds:uri="c8445e37-9e7b-4029-a7fd-ff4c15d32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Cogeco Connexion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Comrie</cp:lastModifiedBy>
  <cp:revision>16</cp:revision>
  <dcterms:created xsi:type="dcterms:W3CDTF">2024-06-07T19:09:00Z</dcterms:created>
  <dcterms:modified xsi:type="dcterms:W3CDTF">2024-06-21T16:55:00Z</dcterms:modified>
</cp:coreProperties>
</file>