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FD440" w14:textId="78014B87" w:rsidR="0051275C" w:rsidRPr="00245361" w:rsidRDefault="0051275C" w:rsidP="0051275C">
      <w:pPr>
        <w:rPr>
          <w:rFonts w:ascii="Arial" w:hAnsi="Arial" w:cs="Arial"/>
        </w:rPr>
      </w:pPr>
      <w:r w:rsidRPr="00245361">
        <w:rPr>
          <w:rFonts w:ascii="Arial" w:hAnsi="Arial" w:cs="Arial"/>
          <w:b/>
        </w:rPr>
        <w:t>CONTRIBUTION:            CNCO</w:t>
      </w:r>
      <w:r w:rsidR="0072123C">
        <w:rPr>
          <w:rFonts w:ascii="Arial" w:hAnsi="Arial" w:cs="Arial"/>
          <w:b/>
        </w:rPr>
        <w:t>249A</w:t>
      </w:r>
    </w:p>
    <w:p w14:paraId="135E6C07" w14:textId="77777777" w:rsidR="0051275C" w:rsidRPr="00245361" w:rsidRDefault="0051275C" w:rsidP="0051275C">
      <w:pPr>
        <w:rPr>
          <w:rFonts w:ascii="Arial" w:hAnsi="Arial" w:cs="Arial"/>
        </w:rPr>
      </w:pPr>
    </w:p>
    <w:p w14:paraId="2862F4AD" w14:textId="77777777" w:rsidR="0051275C" w:rsidRPr="00245361" w:rsidRDefault="0051275C" w:rsidP="0051275C">
      <w:pPr>
        <w:ind w:left="2520" w:hanging="2520"/>
        <w:rPr>
          <w:rFonts w:ascii="Arial" w:hAnsi="Arial" w:cs="Arial"/>
        </w:rPr>
      </w:pPr>
      <w:r w:rsidRPr="00245361">
        <w:rPr>
          <w:rFonts w:ascii="Arial" w:hAnsi="Arial" w:cs="Arial"/>
          <w:b/>
          <w:caps/>
        </w:rPr>
        <w:t>Working Group</w:t>
      </w:r>
      <w:r w:rsidRPr="00245361">
        <w:rPr>
          <w:rFonts w:ascii="Arial" w:hAnsi="Arial" w:cs="Arial"/>
        </w:rPr>
        <w:t>:</w:t>
      </w:r>
      <w:r w:rsidRPr="00245361">
        <w:rPr>
          <w:rFonts w:ascii="Arial" w:hAnsi="Arial" w:cs="Arial"/>
        </w:rPr>
        <w:tab/>
      </w:r>
      <w:r w:rsidRPr="00245361">
        <w:rPr>
          <w:rFonts w:ascii="Arial" w:hAnsi="Arial" w:cs="Arial"/>
          <w:b/>
        </w:rPr>
        <w:t>Canadian Steering Committee on Numbering (CSCN)</w:t>
      </w:r>
    </w:p>
    <w:p w14:paraId="77516A29" w14:textId="77777777" w:rsidR="0051275C" w:rsidRPr="00245361" w:rsidRDefault="0051275C" w:rsidP="0051275C">
      <w:pPr>
        <w:ind w:left="2520" w:hanging="2520"/>
        <w:rPr>
          <w:rFonts w:ascii="Arial" w:hAnsi="Arial" w:cs="Arial"/>
        </w:rPr>
      </w:pPr>
    </w:p>
    <w:p w14:paraId="09629485" w14:textId="77777777" w:rsidR="0051275C" w:rsidRPr="00245361" w:rsidRDefault="0051275C" w:rsidP="0051275C">
      <w:pPr>
        <w:ind w:left="2520" w:hanging="2520"/>
        <w:rPr>
          <w:rFonts w:ascii="Arial" w:hAnsi="Arial" w:cs="Arial"/>
          <w:b/>
        </w:rPr>
      </w:pPr>
      <w:r w:rsidRPr="00245361">
        <w:rPr>
          <w:rFonts w:ascii="Arial" w:hAnsi="Arial" w:cs="Arial"/>
          <w:b/>
          <w:caps/>
        </w:rPr>
        <w:t>Title</w:t>
      </w:r>
      <w:r w:rsidRPr="00245361">
        <w:rPr>
          <w:rFonts w:ascii="Arial" w:hAnsi="Arial" w:cs="Arial"/>
        </w:rPr>
        <w:t>:</w:t>
      </w:r>
      <w:r w:rsidRPr="00245361">
        <w:rPr>
          <w:rFonts w:ascii="Arial" w:hAnsi="Arial" w:cs="Arial"/>
        </w:rPr>
        <w:tab/>
      </w:r>
      <w:r w:rsidRPr="00245361">
        <w:rPr>
          <w:rFonts w:ascii="Arial" w:hAnsi="Arial" w:cs="Arial"/>
          <w:b/>
        </w:rPr>
        <w:t xml:space="preserve">Proposed Submission   </w:t>
      </w:r>
    </w:p>
    <w:p w14:paraId="25E85BE7" w14:textId="77777777" w:rsidR="0051275C" w:rsidRPr="00245361" w:rsidRDefault="0051275C" w:rsidP="0051275C">
      <w:pPr>
        <w:ind w:left="2520" w:hanging="2520"/>
        <w:rPr>
          <w:rFonts w:ascii="Arial" w:hAnsi="Arial" w:cs="Arial"/>
          <w:b/>
        </w:rPr>
      </w:pPr>
    </w:p>
    <w:p w14:paraId="5E1A7F7D" w14:textId="0150DA06" w:rsidR="0051275C" w:rsidRPr="00245361" w:rsidRDefault="0051275C" w:rsidP="0051275C">
      <w:pPr>
        <w:ind w:left="2520" w:hanging="2520"/>
        <w:rPr>
          <w:rFonts w:ascii="Arial" w:hAnsi="Arial" w:cs="Arial"/>
          <w:b/>
        </w:rPr>
      </w:pPr>
      <w:r w:rsidRPr="00245361">
        <w:rPr>
          <w:rFonts w:ascii="Arial" w:hAnsi="Arial" w:cs="Arial"/>
          <w:b/>
        </w:rPr>
        <w:t>DATE:</w:t>
      </w:r>
      <w:r w:rsidRPr="00245361">
        <w:rPr>
          <w:rFonts w:ascii="Arial" w:hAnsi="Arial" w:cs="Arial"/>
          <w:b/>
        </w:rPr>
        <w:tab/>
        <w:t>27 May 2024</w:t>
      </w:r>
    </w:p>
    <w:p w14:paraId="3999BEB2" w14:textId="77777777" w:rsidR="0051275C" w:rsidRPr="00245361" w:rsidRDefault="0051275C" w:rsidP="0051275C">
      <w:pPr>
        <w:rPr>
          <w:rFonts w:ascii="Arial" w:hAnsi="Arial" w:cs="Arial"/>
          <w:b/>
        </w:rPr>
      </w:pPr>
    </w:p>
    <w:p w14:paraId="5A3575CC" w14:textId="551A1188" w:rsidR="0051275C" w:rsidRPr="00245361" w:rsidRDefault="0051275C" w:rsidP="0051275C">
      <w:pPr>
        <w:ind w:left="2520" w:hanging="2520"/>
        <w:rPr>
          <w:rFonts w:ascii="Arial" w:hAnsi="Arial" w:cs="Arial"/>
        </w:rPr>
      </w:pPr>
      <w:r w:rsidRPr="00245361">
        <w:rPr>
          <w:rFonts w:ascii="Arial" w:hAnsi="Arial" w:cs="Arial"/>
          <w:b/>
        </w:rPr>
        <w:t>RELATED TIFs:</w:t>
      </w:r>
      <w:r w:rsidRPr="00245361">
        <w:rPr>
          <w:rFonts w:ascii="Arial" w:hAnsi="Arial" w:cs="Arial"/>
        </w:rPr>
        <w:tab/>
      </w:r>
      <w:r w:rsidRPr="00245361">
        <w:rPr>
          <w:rFonts w:ascii="Arial" w:hAnsi="Arial" w:cs="Arial"/>
          <w:b/>
        </w:rPr>
        <w:t>TIF 118:</w:t>
      </w:r>
      <w:r w:rsidRPr="00245361">
        <w:rPr>
          <w:rFonts w:ascii="Arial" w:hAnsi="Arial" w:cs="Arial"/>
        </w:rPr>
        <w:t xml:space="preserve">  </w:t>
      </w:r>
      <w:r w:rsidRPr="00245361">
        <w:rPr>
          <w:rFonts w:ascii="Arial" w:hAnsi="Arial" w:cs="Arial"/>
          <w:b/>
        </w:rPr>
        <w:t>Recommendations on timeline and utilization for ordering numbering resources</w:t>
      </w:r>
    </w:p>
    <w:p w14:paraId="4FF509B8" w14:textId="77777777" w:rsidR="0051275C" w:rsidRPr="00245361" w:rsidRDefault="0051275C" w:rsidP="0051275C">
      <w:pPr>
        <w:ind w:left="2520" w:hanging="2520"/>
        <w:rPr>
          <w:rFonts w:ascii="Arial" w:hAnsi="Arial" w:cs="Arial"/>
        </w:rPr>
      </w:pPr>
      <w:r w:rsidRPr="00245361">
        <w:rPr>
          <w:rFonts w:ascii="Arial" w:hAnsi="Arial" w:cs="Arial"/>
        </w:rPr>
        <w:tab/>
      </w:r>
    </w:p>
    <w:p w14:paraId="5975BE7D" w14:textId="39340CBD" w:rsidR="0051275C" w:rsidRPr="00245361" w:rsidRDefault="0051275C" w:rsidP="0051275C">
      <w:pPr>
        <w:ind w:left="2520" w:hanging="2520"/>
        <w:rPr>
          <w:rFonts w:ascii="Arial" w:hAnsi="Arial" w:cs="Arial"/>
          <w:b/>
        </w:rPr>
      </w:pPr>
      <w:r w:rsidRPr="00245361">
        <w:rPr>
          <w:rFonts w:ascii="Arial" w:hAnsi="Arial" w:cs="Arial"/>
          <w:b/>
          <w:caps/>
        </w:rPr>
        <w:t>Source:</w:t>
      </w:r>
      <w:r w:rsidRPr="00245361">
        <w:rPr>
          <w:rFonts w:ascii="Arial" w:hAnsi="Arial" w:cs="Arial"/>
          <w:b/>
        </w:rPr>
        <w:tab/>
      </w:r>
      <w:r w:rsidRPr="00245361">
        <w:rPr>
          <w:rFonts w:ascii="Arial" w:hAnsi="Arial" w:cs="Arial"/>
          <w:b/>
          <w:bCs/>
        </w:rPr>
        <w:t>R</w:t>
      </w:r>
      <w:r w:rsidRPr="00245361">
        <w:rPr>
          <w:rFonts w:ascii="Arial" w:hAnsi="Arial" w:cs="Arial"/>
          <w:b/>
        </w:rPr>
        <w:t xml:space="preserve">ogers, Bell </w:t>
      </w:r>
      <w:r w:rsidR="00E95C03" w:rsidRPr="00245361">
        <w:rPr>
          <w:rFonts w:ascii="Arial" w:hAnsi="Arial" w:cs="Arial"/>
          <w:b/>
        </w:rPr>
        <w:t xml:space="preserve">Canada </w:t>
      </w:r>
      <w:r w:rsidRPr="00245361">
        <w:rPr>
          <w:rFonts w:ascii="Arial" w:hAnsi="Arial" w:cs="Arial"/>
          <w:b/>
        </w:rPr>
        <w:t>and KRob</w:t>
      </w:r>
      <w:r w:rsidR="00E95C03" w:rsidRPr="00245361">
        <w:rPr>
          <w:rFonts w:ascii="Arial" w:hAnsi="Arial" w:cs="Arial"/>
          <w:b/>
        </w:rPr>
        <w:t xml:space="preserve"> Telecom Numbering</w:t>
      </w:r>
      <w:r w:rsidRPr="00245361">
        <w:rPr>
          <w:rFonts w:ascii="Arial" w:hAnsi="Arial" w:cs="Arial"/>
          <w:b/>
        </w:rPr>
        <w:t xml:space="preserve"> Solutions</w:t>
      </w:r>
    </w:p>
    <w:p w14:paraId="1CD98967" w14:textId="77777777" w:rsidR="00E95C03" w:rsidRPr="00245361" w:rsidRDefault="00E95C03" w:rsidP="0051275C">
      <w:pPr>
        <w:ind w:left="2520" w:hanging="2520"/>
        <w:rPr>
          <w:rFonts w:ascii="Arial" w:hAnsi="Arial" w:cs="Arial"/>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4668"/>
        <w:gridCol w:w="3828"/>
      </w:tblGrid>
      <w:tr w:rsidR="00245361" w:rsidRPr="00245361" w14:paraId="16D62DF5" w14:textId="77777777" w:rsidTr="00245361">
        <w:trPr>
          <w:trHeight w:val="290"/>
          <w:jc w:val="center"/>
        </w:trPr>
        <w:tc>
          <w:tcPr>
            <w:tcW w:w="2131" w:type="dxa"/>
            <w:shd w:val="clear" w:color="auto" w:fill="auto"/>
            <w:noWrap/>
            <w:vAlign w:val="bottom"/>
            <w:hideMark/>
          </w:tcPr>
          <w:p w14:paraId="5D31046E" w14:textId="77777777" w:rsidR="00E95C03" w:rsidRPr="00E95C03" w:rsidRDefault="00E95C03" w:rsidP="00E95C03">
            <w:pPr>
              <w:jc w:val="center"/>
              <w:rPr>
                <w:rFonts w:ascii="Arial" w:hAnsi="Arial" w:cs="Arial"/>
                <w:color w:val="000000"/>
              </w:rPr>
            </w:pPr>
            <w:r w:rsidRPr="00E95C03">
              <w:rPr>
                <w:rFonts w:ascii="Arial" w:hAnsi="Arial" w:cs="Arial"/>
                <w:color w:val="000000"/>
              </w:rPr>
              <w:t>Jennifer Mack</w:t>
            </w:r>
          </w:p>
        </w:tc>
        <w:tc>
          <w:tcPr>
            <w:tcW w:w="4668" w:type="dxa"/>
            <w:shd w:val="clear" w:color="auto" w:fill="auto"/>
            <w:noWrap/>
            <w:vAlign w:val="bottom"/>
            <w:hideMark/>
          </w:tcPr>
          <w:p w14:paraId="3C83C59B" w14:textId="77777777" w:rsidR="00E95C03" w:rsidRPr="00E95C03" w:rsidRDefault="00E95C03" w:rsidP="00E95C03">
            <w:pPr>
              <w:jc w:val="center"/>
              <w:rPr>
                <w:rFonts w:ascii="Arial" w:hAnsi="Arial" w:cs="Arial"/>
                <w:color w:val="000000"/>
              </w:rPr>
            </w:pPr>
            <w:r w:rsidRPr="00E95C03">
              <w:rPr>
                <w:rFonts w:ascii="Arial" w:hAnsi="Arial" w:cs="Arial"/>
                <w:color w:val="000000"/>
              </w:rPr>
              <w:t>Rogers</w:t>
            </w:r>
          </w:p>
        </w:tc>
        <w:tc>
          <w:tcPr>
            <w:tcW w:w="3828" w:type="dxa"/>
            <w:shd w:val="clear" w:color="auto" w:fill="auto"/>
            <w:noWrap/>
            <w:vAlign w:val="bottom"/>
            <w:hideMark/>
          </w:tcPr>
          <w:p w14:paraId="26409663" w14:textId="77777777" w:rsidR="00E95C03" w:rsidRPr="00E95C03" w:rsidRDefault="0072123C" w:rsidP="00E95C03">
            <w:pPr>
              <w:jc w:val="center"/>
              <w:rPr>
                <w:rFonts w:ascii="Arial" w:hAnsi="Arial" w:cs="Arial"/>
                <w:color w:val="0563C1"/>
                <w:u w:val="single"/>
              </w:rPr>
            </w:pPr>
            <w:hyperlink r:id="rId6" w:history="1">
              <w:r w:rsidR="00E95C03" w:rsidRPr="00E95C03">
                <w:rPr>
                  <w:rFonts w:ascii="Arial" w:hAnsi="Arial" w:cs="Arial"/>
                  <w:color w:val="0563C1"/>
                  <w:u w:val="single"/>
                </w:rPr>
                <w:t>jennifer.mack@rci.rogers.com</w:t>
              </w:r>
            </w:hyperlink>
          </w:p>
        </w:tc>
      </w:tr>
      <w:tr w:rsidR="00245361" w:rsidRPr="00245361" w14:paraId="6F9F44C3" w14:textId="77777777" w:rsidTr="00245361">
        <w:trPr>
          <w:trHeight w:val="290"/>
          <w:jc w:val="center"/>
        </w:trPr>
        <w:tc>
          <w:tcPr>
            <w:tcW w:w="2131" w:type="dxa"/>
            <w:shd w:val="clear" w:color="auto" w:fill="auto"/>
            <w:noWrap/>
            <w:vAlign w:val="bottom"/>
            <w:hideMark/>
          </w:tcPr>
          <w:p w14:paraId="31ADC940" w14:textId="77777777" w:rsidR="00E95C03" w:rsidRPr="00E95C03" w:rsidRDefault="00E95C03" w:rsidP="00E95C03">
            <w:pPr>
              <w:jc w:val="center"/>
              <w:rPr>
                <w:rFonts w:ascii="Arial" w:hAnsi="Arial" w:cs="Arial"/>
                <w:color w:val="000000"/>
              </w:rPr>
            </w:pPr>
            <w:r w:rsidRPr="00E95C03">
              <w:rPr>
                <w:rFonts w:ascii="Arial" w:hAnsi="Arial" w:cs="Arial"/>
                <w:color w:val="000000"/>
              </w:rPr>
              <w:t>Ken Shackleton</w:t>
            </w:r>
          </w:p>
        </w:tc>
        <w:tc>
          <w:tcPr>
            <w:tcW w:w="4668" w:type="dxa"/>
            <w:shd w:val="clear" w:color="auto" w:fill="auto"/>
            <w:noWrap/>
            <w:vAlign w:val="bottom"/>
            <w:hideMark/>
          </w:tcPr>
          <w:p w14:paraId="730E6D65" w14:textId="77777777" w:rsidR="00E95C03" w:rsidRPr="00E95C03" w:rsidRDefault="00E95C03" w:rsidP="00E95C03">
            <w:pPr>
              <w:jc w:val="center"/>
              <w:rPr>
                <w:rFonts w:ascii="Arial" w:hAnsi="Arial" w:cs="Arial"/>
                <w:color w:val="000000"/>
              </w:rPr>
            </w:pPr>
            <w:r w:rsidRPr="00E95C03">
              <w:rPr>
                <w:rFonts w:ascii="Arial" w:hAnsi="Arial" w:cs="Arial"/>
                <w:color w:val="000000"/>
              </w:rPr>
              <w:t>Rogers</w:t>
            </w:r>
          </w:p>
        </w:tc>
        <w:tc>
          <w:tcPr>
            <w:tcW w:w="3828" w:type="dxa"/>
            <w:shd w:val="clear" w:color="auto" w:fill="auto"/>
            <w:noWrap/>
            <w:vAlign w:val="bottom"/>
            <w:hideMark/>
          </w:tcPr>
          <w:p w14:paraId="0B87B108" w14:textId="77777777" w:rsidR="00E95C03" w:rsidRPr="00E95C03" w:rsidRDefault="0072123C" w:rsidP="00E95C03">
            <w:pPr>
              <w:jc w:val="center"/>
              <w:rPr>
                <w:rFonts w:ascii="Arial" w:hAnsi="Arial" w:cs="Arial"/>
                <w:color w:val="0563C1"/>
                <w:u w:val="single"/>
              </w:rPr>
            </w:pPr>
            <w:hyperlink r:id="rId7" w:history="1">
              <w:r w:rsidR="00E95C03" w:rsidRPr="00E95C03">
                <w:rPr>
                  <w:rFonts w:ascii="Arial" w:hAnsi="Arial" w:cs="Arial"/>
                  <w:color w:val="0563C1"/>
                  <w:u w:val="single"/>
                </w:rPr>
                <w:t>ken.shackleton@rci.rogers.com</w:t>
              </w:r>
            </w:hyperlink>
          </w:p>
        </w:tc>
      </w:tr>
      <w:tr w:rsidR="00245361" w:rsidRPr="00245361" w14:paraId="7A89B117" w14:textId="77777777" w:rsidTr="00245361">
        <w:trPr>
          <w:trHeight w:val="290"/>
          <w:jc w:val="center"/>
        </w:trPr>
        <w:tc>
          <w:tcPr>
            <w:tcW w:w="2131" w:type="dxa"/>
            <w:shd w:val="clear" w:color="auto" w:fill="auto"/>
            <w:noWrap/>
            <w:vAlign w:val="bottom"/>
            <w:hideMark/>
          </w:tcPr>
          <w:p w14:paraId="4C1DEA45" w14:textId="77777777" w:rsidR="00E95C03" w:rsidRPr="00E95C03" w:rsidRDefault="00E95C03" w:rsidP="00E95C03">
            <w:pPr>
              <w:jc w:val="center"/>
              <w:rPr>
                <w:rFonts w:ascii="Arial" w:hAnsi="Arial" w:cs="Arial"/>
                <w:color w:val="000000"/>
              </w:rPr>
            </w:pPr>
            <w:r w:rsidRPr="00E95C03">
              <w:rPr>
                <w:rFonts w:ascii="Arial" w:hAnsi="Arial" w:cs="Arial"/>
                <w:color w:val="000000"/>
              </w:rPr>
              <w:t>Graham Le Geyt</w:t>
            </w:r>
          </w:p>
        </w:tc>
        <w:tc>
          <w:tcPr>
            <w:tcW w:w="4668" w:type="dxa"/>
            <w:shd w:val="clear" w:color="auto" w:fill="auto"/>
            <w:noWrap/>
            <w:vAlign w:val="bottom"/>
            <w:hideMark/>
          </w:tcPr>
          <w:p w14:paraId="32B1359B" w14:textId="77777777" w:rsidR="00E95C03" w:rsidRPr="00E95C03" w:rsidRDefault="00E95C03" w:rsidP="00E95C03">
            <w:pPr>
              <w:jc w:val="center"/>
              <w:rPr>
                <w:rFonts w:ascii="Arial" w:hAnsi="Arial" w:cs="Arial"/>
                <w:color w:val="000000"/>
              </w:rPr>
            </w:pPr>
            <w:r w:rsidRPr="00E95C03">
              <w:rPr>
                <w:rFonts w:ascii="Arial" w:hAnsi="Arial" w:cs="Arial"/>
                <w:color w:val="000000"/>
              </w:rPr>
              <w:t>Rogers</w:t>
            </w:r>
          </w:p>
        </w:tc>
        <w:tc>
          <w:tcPr>
            <w:tcW w:w="3828" w:type="dxa"/>
            <w:shd w:val="clear" w:color="auto" w:fill="auto"/>
            <w:noWrap/>
            <w:vAlign w:val="bottom"/>
            <w:hideMark/>
          </w:tcPr>
          <w:p w14:paraId="53623B4C" w14:textId="77777777" w:rsidR="00E95C03" w:rsidRPr="00E95C03" w:rsidRDefault="0072123C" w:rsidP="00E95C03">
            <w:pPr>
              <w:jc w:val="center"/>
              <w:rPr>
                <w:rFonts w:ascii="Arial" w:hAnsi="Arial" w:cs="Arial"/>
                <w:color w:val="0563C1"/>
                <w:u w:val="single"/>
              </w:rPr>
            </w:pPr>
            <w:hyperlink r:id="rId8" w:history="1">
              <w:r w:rsidR="00E95C03" w:rsidRPr="00E95C03">
                <w:rPr>
                  <w:rFonts w:ascii="Arial" w:hAnsi="Arial" w:cs="Arial"/>
                  <w:color w:val="0563C1"/>
                  <w:u w:val="single"/>
                </w:rPr>
                <w:t>Graham.LeGeyt@rci.rogers.com</w:t>
              </w:r>
            </w:hyperlink>
          </w:p>
        </w:tc>
      </w:tr>
      <w:tr w:rsidR="00245361" w:rsidRPr="00245361" w14:paraId="39F08677" w14:textId="77777777" w:rsidTr="00245361">
        <w:trPr>
          <w:trHeight w:val="290"/>
          <w:jc w:val="center"/>
        </w:trPr>
        <w:tc>
          <w:tcPr>
            <w:tcW w:w="2131" w:type="dxa"/>
            <w:shd w:val="clear" w:color="auto" w:fill="auto"/>
            <w:noWrap/>
            <w:vAlign w:val="bottom"/>
            <w:hideMark/>
          </w:tcPr>
          <w:p w14:paraId="0F5BC16F" w14:textId="77777777" w:rsidR="00E95C03" w:rsidRPr="00E95C03" w:rsidRDefault="00E95C03" w:rsidP="00E95C03">
            <w:pPr>
              <w:jc w:val="center"/>
              <w:rPr>
                <w:rFonts w:ascii="Arial" w:hAnsi="Arial" w:cs="Arial"/>
                <w:color w:val="000000"/>
              </w:rPr>
            </w:pPr>
            <w:r w:rsidRPr="00E95C03">
              <w:rPr>
                <w:rFonts w:ascii="Arial" w:hAnsi="Arial" w:cs="Arial"/>
                <w:color w:val="000000"/>
              </w:rPr>
              <w:t>Leo Santoro</w:t>
            </w:r>
          </w:p>
        </w:tc>
        <w:tc>
          <w:tcPr>
            <w:tcW w:w="4668" w:type="dxa"/>
            <w:shd w:val="clear" w:color="auto" w:fill="auto"/>
            <w:noWrap/>
            <w:vAlign w:val="bottom"/>
            <w:hideMark/>
          </w:tcPr>
          <w:p w14:paraId="4E187F63" w14:textId="77777777" w:rsidR="00E95C03" w:rsidRPr="00E95C03" w:rsidRDefault="00E95C03" w:rsidP="00E95C03">
            <w:pPr>
              <w:jc w:val="center"/>
              <w:rPr>
                <w:rFonts w:ascii="Arial" w:hAnsi="Arial" w:cs="Arial"/>
                <w:color w:val="000000"/>
              </w:rPr>
            </w:pPr>
            <w:r w:rsidRPr="00E95C03">
              <w:rPr>
                <w:rFonts w:ascii="Arial" w:hAnsi="Arial" w:cs="Arial"/>
                <w:color w:val="000000"/>
              </w:rPr>
              <w:t>Bell</w:t>
            </w:r>
          </w:p>
        </w:tc>
        <w:tc>
          <w:tcPr>
            <w:tcW w:w="3828" w:type="dxa"/>
            <w:shd w:val="clear" w:color="auto" w:fill="auto"/>
            <w:noWrap/>
            <w:vAlign w:val="bottom"/>
            <w:hideMark/>
          </w:tcPr>
          <w:p w14:paraId="1CDBDE6C" w14:textId="77777777" w:rsidR="00E95C03" w:rsidRPr="00E95C03" w:rsidRDefault="0072123C" w:rsidP="00E95C03">
            <w:pPr>
              <w:jc w:val="center"/>
              <w:rPr>
                <w:rFonts w:ascii="Arial" w:hAnsi="Arial" w:cs="Arial"/>
                <w:color w:val="0563C1"/>
                <w:u w:val="single"/>
              </w:rPr>
            </w:pPr>
            <w:hyperlink r:id="rId9" w:history="1">
              <w:r w:rsidR="00E95C03" w:rsidRPr="00E95C03">
                <w:rPr>
                  <w:rFonts w:ascii="Arial" w:hAnsi="Arial" w:cs="Arial"/>
                  <w:color w:val="0563C1"/>
                  <w:u w:val="single"/>
                </w:rPr>
                <w:t>leo.santoro@bell.ca</w:t>
              </w:r>
            </w:hyperlink>
          </w:p>
        </w:tc>
      </w:tr>
      <w:tr w:rsidR="00245361" w:rsidRPr="00245361" w14:paraId="6F9BE836" w14:textId="77777777" w:rsidTr="00245361">
        <w:trPr>
          <w:trHeight w:val="290"/>
          <w:jc w:val="center"/>
        </w:trPr>
        <w:tc>
          <w:tcPr>
            <w:tcW w:w="2131" w:type="dxa"/>
            <w:shd w:val="clear" w:color="auto" w:fill="auto"/>
            <w:noWrap/>
            <w:vAlign w:val="bottom"/>
            <w:hideMark/>
          </w:tcPr>
          <w:p w14:paraId="5B6343AB" w14:textId="77777777" w:rsidR="00E95C03" w:rsidRPr="00E95C03" w:rsidRDefault="00E95C03" w:rsidP="00E95C03">
            <w:pPr>
              <w:jc w:val="center"/>
              <w:rPr>
                <w:rFonts w:ascii="Arial" w:hAnsi="Arial" w:cs="Arial"/>
                <w:color w:val="000000"/>
              </w:rPr>
            </w:pPr>
            <w:r w:rsidRPr="00E95C03">
              <w:rPr>
                <w:rFonts w:ascii="Arial" w:hAnsi="Arial" w:cs="Arial"/>
                <w:color w:val="000000"/>
              </w:rPr>
              <w:t>Karen Robinson</w:t>
            </w:r>
          </w:p>
        </w:tc>
        <w:tc>
          <w:tcPr>
            <w:tcW w:w="4668" w:type="dxa"/>
            <w:shd w:val="clear" w:color="auto" w:fill="auto"/>
            <w:noWrap/>
            <w:vAlign w:val="bottom"/>
            <w:hideMark/>
          </w:tcPr>
          <w:p w14:paraId="0A27D90E" w14:textId="77777777" w:rsidR="00E95C03" w:rsidRPr="00E95C03" w:rsidRDefault="00E95C03" w:rsidP="00E95C03">
            <w:pPr>
              <w:jc w:val="center"/>
              <w:rPr>
                <w:rFonts w:ascii="Arial" w:hAnsi="Arial" w:cs="Arial"/>
                <w:color w:val="000000"/>
              </w:rPr>
            </w:pPr>
            <w:r w:rsidRPr="00E95C03">
              <w:rPr>
                <w:rFonts w:ascii="Arial" w:hAnsi="Arial" w:cs="Arial"/>
                <w:color w:val="000000"/>
              </w:rPr>
              <w:t>KRob Telecom Numbering Solutions</w:t>
            </w:r>
          </w:p>
        </w:tc>
        <w:tc>
          <w:tcPr>
            <w:tcW w:w="3828" w:type="dxa"/>
            <w:shd w:val="clear" w:color="auto" w:fill="auto"/>
            <w:noWrap/>
            <w:vAlign w:val="bottom"/>
            <w:hideMark/>
          </w:tcPr>
          <w:p w14:paraId="35BEB113" w14:textId="77777777" w:rsidR="00E95C03" w:rsidRPr="00E95C03" w:rsidRDefault="0072123C" w:rsidP="00E95C03">
            <w:pPr>
              <w:jc w:val="center"/>
              <w:rPr>
                <w:rFonts w:ascii="Arial" w:hAnsi="Arial" w:cs="Arial"/>
                <w:color w:val="0563C1"/>
                <w:u w:val="single"/>
              </w:rPr>
            </w:pPr>
            <w:hyperlink r:id="rId10" w:history="1">
              <w:r w:rsidR="00E95C03" w:rsidRPr="00E95C03">
                <w:rPr>
                  <w:rFonts w:ascii="Arial" w:hAnsi="Arial" w:cs="Arial"/>
                  <w:color w:val="0563C1"/>
                  <w:u w:val="single"/>
                </w:rPr>
                <w:t>karen@krobsolutions.ca</w:t>
              </w:r>
            </w:hyperlink>
          </w:p>
        </w:tc>
      </w:tr>
    </w:tbl>
    <w:p w14:paraId="7A94CF9B" w14:textId="77777777" w:rsidR="00E95C03" w:rsidRPr="00245361" w:rsidRDefault="00E95C03" w:rsidP="0051275C">
      <w:pPr>
        <w:ind w:left="2520" w:hanging="2520"/>
        <w:rPr>
          <w:rFonts w:ascii="Arial" w:hAnsi="Arial" w:cs="Arial"/>
          <w:b/>
        </w:rPr>
      </w:pPr>
    </w:p>
    <w:p w14:paraId="61D50235" w14:textId="77777777" w:rsidR="0051275C" w:rsidRPr="00245361" w:rsidRDefault="0051275C" w:rsidP="0051275C">
      <w:pPr>
        <w:ind w:left="2520" w:hanging="2520"/>
        <w:rPr>
          <w:rFonts w:ascii="Arial" w:hAnsi="Arial" w:cs="Arial"/>
          <w:b/>
        </w:rPr>
      </w:pPr>
    </w:p>
    <w:p w14:paraId="43C293C7" w14:textId="77777777" w:rsidR="0051275C" w:rsidRPr="00245361" w:rsidRDefault="0051275C" w:rsidP="0051275C">
      <w:pPr>
        <w:ind w:left="2520" w:hanging="2520"/>
        <w:rPr>
          <w:rFonts w:ascii="Arial" w:hAnsi="Arial" w:cs="Arial"/>
        </w:rPr>
      </w:pPr>
      <w:r w:rsidRPr="00245361">
        <w:rPr>
          <w:rFonts w:ascii="Arial" w:hAnsi="Arial" w:cs="Arial"/>
          <w:b/>
          <w:caps/>
        </w:rPr>
        <w:t xml:space="preserve">Distribution: </w:t>
      </w:r>
      <w:r w:rsidRPr="00245361">
        <w:rPr>
          <w:rFonts w:ascii="Arial" w:hAnsi="Arial" w:cs="Arial"/>
          <w:b/>
          <w:caps/>
        </w:rPr>
        <w:tab/>
      </w:r>
      <w:r w:rsidRPr="00245361">
        <w:rPr>
          <w:rFonts w:ascii="Arial" w:hAnsi="Arial" w:cs="Arial"/>
        </w:rPr>
        <w:t>CSCN TIF 118 Participants</w:t>
      </w:r>
    </w:p>
    <w:p w14:paraId="1AAC220C" w14:textId="77777777" w:rsidR="0051275C" w:rsidRPr="00245361" w:rsidRDefault="0051275C" w:rsidP="0051275C">
      <w:pPr>
        <w:ind w:left="2520" w:hanging="2520"/>
        <w:rPr>
          <w:rFonts w:ascii="Arial" w:hAnsi="Arial" w:cs="Arial"/>
        </w:rPr>
      </w:pPr>
    </w:p>
    <w:p w14:paraId="58A2D749" w14:textId="77777777" w:rsidR="0051275C" w:rsidRPr="00245361" w:rsidRDefault="0051275C" w:rsidP="0051275C">
      <w:pPr>
        <w:ind w:left="2520" w:hanging="2520"/>
        <w:rPr>
          <w:rFonts w:ascii="Arial" w:hAnsi="Arial" w:cs="Arial"/>
        </w:rPr>
      </w:pPr>
      <w:r w:rsidRPr="00245361">
        <w:rPr>
          <w:rFonts w:ascii="Arial" w:hAnsi="Arial" w:cs="Arial"/>
          <w:b/>
          <w:caps/>
        </w:rPr>
        <w:t>Filename:</w:t>
      </w:r>
      <w:r w:rsidRPr="00245361">
        <w:rPr>
          <w:rFonts w:ascii="Arial" w:hAnsi="Arial" w:cs="Arial"/>
          <w:b/>
          <w:caps/>
        </w:rPr>
        <w:tab/>
      </w:r>
      <w:r w:rsidRPr="00245361">
        <w:rPr>
          <w:rFonts w:ascii="Arial" w:hAnsi="Arial" w:cs="Arial"/>
        </w:rPr>
        <w:t>CNCO243B TIF 118 COMsolve.doc</w:t>
      </w:r>
    </w:p>
    <w:p w14:paraId="7A29FCCF" w14:textId="77777777" w:rsidR="0051275C" w:rsidRPr="00245361" w:rsidRDefault="0051275C" w:rsidP="0051275C">
      <w:pPr>
        <w:ind w:left="2520" w:hanging="2520"/>
        <w:rPr>
          <w:rFonts w:ascii="Arial" w:hAnsi="Arial" w:cs="Arial"/>
          <w:b/>
          <w:caps/>
        </w:rPr>
      </w:pPr>
    </w:p>
    <w:p w14:paraId="37D4839E" w14:textId="1C6B46CE" w:rsidR="0051275C" w:rsidRPr="00245361" w:rsidRDefault="0051275C" w:rsidP="0051275C">
      <w:pPr>
        <w:ind w:left="2520" w:hanging="2520"/>
        <w:jc w:val="both"/>
        <w:rPr>
          <w:rFonts w:ascii="Arial" w:hAnsi="Arial" w:cs="Arial"/>
        </w:rPr>
      </w:pPr>
      <w:r w:rsidRPr="00245361">
        <w:rPr>
          <w:rFonts w:ascii="Arial" w:hAnsi="Arial" w:cs="Arial"/>
          <w:b/>
          <w:caps/>
        </w:rPr>
        <w:t>Notice:</w:t>
      </w:r>
      <w:r w:rsidRPr="00245361">
        <w:rPr>
          <w:rFonts w:ascii="Arial" w:hAnsi="Arial" w:cs="Arial"/>
          <w:b/>
        </w:rPr>
        <w:tab/>
      </w:r>
      <w:r w:rsidRPr="00245361">
        <w:rPr>
          <w:rFonts w:ascii="Arial" w:hAnsi="Arial" w:cs="Arial"/>
          <w:b/>
          <w:bCs/>
        </w:rPr>
        <w:t xml:space="preserve">This contribution has been prepared by Rogers, Bell </w:t>
      </w:r>
      <w:r w:rsidR="00E95C03" w:rsidRPr="00245361">
        <w:rPr>
          <w:rFonts w:ascii="Arial" w:hAnsi="Arial" w:cs="Arial"/>
          <w:b/>
          <w:bCs/>
        </w:rPr>
        <w:t xml:space="preserve">Canada </w:t>
      </w:r>
      <w:r w:rsidRPr="00245361">
        <w:rPr>
          <w:rFonts w:ascii="Arial" w:hAnsi="Arial" w:cs="Arial"/>
          <w:b/>
          <w:bCs/>
        </w:rPr>
        <w:t xml:space="preserve">and KRob </w:t>
      </w:r>
      <w:r w:rsidR="00E95C03" w:rsidRPr="00245361">
        <w:rPr>
          <w:rFonts w:ascii="Arial" w:hAnsi="Arial" w:cs="Arial"/>
          <w:b/>
        </w:rPr>
        <w:t xml:space="preserve">Telecom Numbering </w:t>
      </w:r>
      <w:r w:rsidRPr="00245361">
        <w:rPr>
          <w:rFonts w:ascii="Arial" w:hAnsi="Arial" w:cs="Arial"/>
          <w:b/>
          <w:bCs/>
        </w:rPr>
        <w:t xml:space="preserve">Solutions for the purposes of discussion in the CSCN, and it is not to be considered a binding proposal on </w:t>
      </w:r>
      <w:r w:rsidR="00E95C03" w:rsidRPr="00245361">
        <w:rPr>
          <w:rFonts w:ascii="Arial" w:hAnsi="Arial" w:cs="Arial"/>
          <w:b/>
          <w:bCs/>
        </w:rPr>
        <w:t>R</w:t>
      </w:r>
      <w:r w:rsidR="00E95C03" w:rsidRPr="00245361">
        <w:rPr>
          <w:rFonts w:ascii="Arial" w:hAnsi="Arial" w:cs="Arial"/>
          <w:b/>
        </w:rPr>
        <w:t>ogers, Bell Canada and KRob Telecom Numbering Solutions</w:t>
      </w:r>
      <w:r w:rsidRPr="00245361">
        <w:rPr>
          <w:rFonts w:ascii="Arial" w:hAnsi="Arial" w:cs="Arial"/>
          <w:b/>
          <w:bCs/>
        </w:rPr>
        <w:t xml:space="preserve">.  </w:t>
      </w:r>
      <w:r w:rsidR="00E95C03" w:rsidRPr="00245361">
        <w:rPr>
          <w:rFonts w:ascii="Arial" w:hAnsi="Arial" w:cs="Arial"/>
          <w:b/>
          <w:bCs/>
        </w:rPr>
        <w:t>R</w:t>
      </w:r>
      <w:r w:rsidR="00E95C03" w:rsidRPr="00245361">
        <w:rPr>
          <w:rFonts w:ascii="Arial" w:hAnsi="Arial" w:cs="Arial"/>
          <w:b/>
        </w:rPr>
        <w:t>ogers, Bell Canada and KRob Telecom Numbering Solutions</w:t>
      </w:r>
      <w:r w:rsidR="00E95C03" w:rsidRPr="00245361">
        <w:rPr>
          <w:rFonts w:ascii="Arial" w:hAnsi="Arial" w:cs="Arial"/>
          <w:b/>
          <w:bCs/>
        </w:rPr>
        <w:t xml:space="preserve"> </w:t>
      </w:r>
      <w:r w:rsidRPr="00245361">
        <w:rPr>
          <w:rFonts w:ascii="Arial" w:hAnsi="Arial" w:cs="Arial"/>
          <w:b/>
          <w:bCs/>
        </w:rPr>
        <w:t>reserves the right to amend or withdraw statements made in this contribution at any time.</w:t>
      </w:r>
    </w:p>
    <w:p w14:paraId="6ECA05F5" w14:textId="77777777" w:rsidR="0051275C" w:rsidRPr="00245361" w:rsidRDefault="0051275C" w:rsidP="0051275C">
      <w:pPr>
        <w:pBdr>
          <w:bottom w:val="single" w:sz="24" w:space="1" w:color="auto"/>
        </w:pBdr>
        <w:jc w:val="both"/>
        <w:rPr>
          <w:rFonts w:ascii="Arial" w:hAnsi="Arial" w:cs="Arial"/>
          <w:b/>
        </w:rPr>
      </w:pPr>
    </w:p>
    <w:p w14:paraId="575385BC" w14:textId="77777777" w:rsidR="0051275C" w:rsidRPr="00245361" w:rsidRDefault="0051275C" w:rsidP="0051275C">
      <w:pPr>
        <w:rPr>
          <w:rFonts w:ascii="Arial" w:hAnsi="Arial" w:cs="Arial"/>
        </w:rPr>
      </w:pPr>
    </w:p>
    <w:p w14:paraId="3E58017B" w14:textId="7A580937" w:rsidR="00CE5BC5" w:rsidRPr="00245361" w:rsidRDefault="00CE5BC5">
      <w:pPr>
        <w:rPr>
          <w:rFonts w:ascii="Arial" w:hAnsi="Arial" w:cs="Arial"/>
        </w:rPr>
      </w:pPr>
    </w:p>
    <w:p w14:paraId="1E66783F" w14:textId="5C1FC6B4" w:rsidR="00245361" w:rsidRPr="00245361" w:rsidRDefault="00245361">
      <w:pPr>
        <w:rPr>
          <w:rFonts w:ascii="Arial" w:hAnsi="Arial" w:cs="Arial"/>
        </w:rPr>
      </w:pPr>
    </w:p>
    <w:p w14:paraId="4A16BB9C" w14:textId="65282FCE" w:rsidR="00245361" w:rsidRPr="00245361" w:rsidRDefault="00245361">
      <w:pPr>
        <w:rPr>
          <w:rFonts w:ascii="Arial" w:hAnsi="Arial" w:cs="Arial"/>
        </w:rPr>
      </w:pPr>
    </w:p>
    <w:p w14:paraId="51BECD66" w14:textId="1FDA9A8C" w:rsidR="00245361" w:rsidRPr="00245361" w:rsidRDefault="00245361">
      <w:pPr>
        <w:rPr>
          <w:rFonts w:ascii="Arial" w:hAnsi="Arial" w:cs="Arial"/>
        </w:rPr>
      </w:pPr>
    </w:p>
    <w:p w14:paraId="2067B432" w14:textId="457892A5" w:rsidR="00245361" w:rsidRPr="00245361" w:rsidRDefault="00245361">
      <w:pPr>
        <w:rPr>
          <w:rFonts w:ascii="Arial" w:hAnsi="Arial" w:cs="Arial"/>
        </w:rPr>
      </w:pPr>
    </w:p>
    <w:p w14:paraId="3D9E8B6C" w14:textId="06579304" w:rsidR="00245361" w:rsidRPr="00245361" w:rsidRDefault="00245361">
      <w:pPr>
        <w:rPr>
          <w:rFonts w:ascii="Arial" w:hAnsi="Arial" w:cs="Arial"/>
        </w:rPr>
      </w:pPr>
    </w:p>
    <w:p w14:paraId="68AFBFB1" w14:textId="3959CED4" w:rsidR="00245361" w:rsidRPr="00245361" w:rsidRDefault="00245361">
      <w:pPr>
        <w:rPr>
          <w:rFonts w:ascii="Arial" w:hAnsi="Arial" w:cs="Arial"/>
        </w:rPr>
      </w:pPr>
    </w:p>
    <w:p w14:paraId="45607993" w14:textId="2124DF16" w:rsidR="00245361" w:rsidRPr="00245361" w:rsidRDefault="00245361">
      <w:pPr>
        <w:rPr>
          <w:rFonts w:ascii="Arial" w:hAnsi="Arial" w:cs="Arial"/>
        </w:rPr>
      </w:pPr>
    </w:p>
    <w:p w14:paraId="1E8F0AF0" w14:textId="70A358A6" w:rsidR="00245361" w:rsidRPr="00245361" w:rsidRDefault="00245361">
      <w:pPr>
        <w:rPr>
          <w:rFonts w:ascii="Arial" w:hAnsi="Arial" w:cs="Arial"/>
        </w:rPr>
      </w:pPr>
    </w:p>
    <w:p w14:paraId="458CD2BD" w14:textId="467D6F02" w:rsidR="00245361" w:rsidRPr="00245361" w:rsidRDefault="00245361">
      <w:pPr>
        <w:rPr>
          <w:rFonts w:ascii="Arial" w:hAnsi="Arial" w:cs="Arial"/>
        </w:rPr>
      </w:pPr>
    </w:p>
    <w:p w14:paraId="059686DD" w14:textId="7AC08B4C" w:rsidR="00245361" w:rsidRPr="00245361" w:rsidRDefault="00245361">
      <w:pPr>
        <w:rPr>
          <w:rFonts w:ascii="Arial" w:hAnsi="Arial" w:cs="Arial"/>
        </w:rPr>
      </w:pPr>
    </w:p>
    <w:p w14:paraId="4D248724" w14:textId="77777777" w:rsidR="00245361" w:rsidRPr="00245361" w:rsidRDefault="00245361" w:rsidP="00245361">
      <w:pPr>
        <w:rPr>
          <w:rFonts w:ascii="Arial" w:hAnsi="Arial" w:cs="Arial"/>
        </w:rPr>
      </w:pPr>
      <w:r w:rsidRPr="00245361">
        <w:rPr>
          <w:rFonts w:ascii="Arial" w:hAnsi="Arial" w:cs="Arial"/>
          <w:b/>
          <w:bCs/>
          <w:u w:val="single"/>
        </w:rPr>
        <w:lastRenderedPageBreak/>
        <w:t>Recommendation 5 from CNCO248A:</w:t>
      </w:r>
      <w:r w:rsidRPr="00245361">
        <w:rPr>
          <w:rFonts w:ascii="Arial" w:hAnsi="Arial" w:cs="Arial"/>
        </w:rPr>
        <w:t xml:space="preserve"> Once Thousands-Block Pooling is in service, then one year later, it is recommended that the requirements for Months-to-Exhaust be reduced from 12 months to 6 months where no Jeopardy Condition exists.</w:t>
      </w:r>
    </w:p>
    <w:p w14:paraId="0D6151A3" w14:textId="77777777" w:rsidR="00245361" w:rsidRPr="00245361" w:rsidRDefault="00245361" w:rsidP="00245361">
      <w:pPr>
        <w:rPr>
          <w:rFonts w:ascii="Arial" w:hAnsi="Arial" w:cs="Arial"/>
          <w:lang w:eastAsia="en-US"/>
        </w:rPr>
      </w:pPr>
    </w:p>
    <w:p w14:paraId="6985A0B8" w14:textId="77777777" w:rsidR="00245361" w:rsidRPr="00245361" w:rsidRDefault="00245361" w:rsidP="00245361">
      <w:pPr>
        <w:rPr>
          <w:rFonts w:ascii="Arial" w:hAnsi="Arial" w:cs="Arial"/>
          <w:lang w:eastAsia="en-US"/>
        </w:rPr>
      </w:pPr>
      <w:r w:rsidRPr="00245361">
        <w:rPr>
          <w:rFonts w:ascii="Arial" w:hAnsi="Arial" w:cs="Arial"/>
          <w:b/>
          <w:bCs/>
          <w:lang w:eastAsia="en-US"/>
        </w:rPr>
        <w:t>Timeline Recommendation:</w:t>
      </w:r>
    </w:p>
    <w:p w14:paraId="4673B020" w14:textId="77777777" w:rsidR="00245361" w:rsidRPr="00245361" w:rsidRDefault="00245361" w:rsidP="00245361">
      <w:pPr>
        <w:rPr>
          <w:rFonts w:ascii="Arial" w:hAnsi="Arial" w:cs="Arial"/>
          <w:color w:val="FF0000"/>
          <w:lang w:eastAsia="en-US"/>
        </w:rPr>
      </w:pPr>
      <w:r w:rsidRPr="00245361">
        <w:rPr>
          <w:rFonts w:ascii="Arial" w:hAnsi="Arial" w:cs="Arial"/>
          <w:color w:val="FF0000"/>
          <w:lang w:eastAsia="en-US"/>
        </w:rPr>
        <w:t>The months-to-exhaust should remain at no more than 12 months when no Jeopardy Condition exists, or when an NPA is in a Jeopardy Condition, no more than 4 months of the period specified by an approved Jeopardy Contingency Plan (see Sections 4.2.1 and 9.5 of the Guideline).</w:t>
      </w:r>
    </w:p>
    <w:p w14:paraId="5F388A13" w14:textId="77777777" w:rsidR="00245361" w:rsidRPr="00245361" w:rsidRDefault="00245361" w:rsidP="00245361">
      <w:pPr>
        <w:rPr>
          <w:rFonts w:ascii="Arial" w:hAnsi="Arial" w:cs="Arial"/>
          <w:lang w:eastAsia="en-US"/>
        </w:rPr>
      </w:pPr>
    </w:p>
    <w:p w14:paraId="1715DB90" w14:textId="77777777" w:rsidR="00245361" w:rsidRPr="00245361" w:rsidRDefault="00245361" w:rsidP="00245361">
      <w:pPr>
        <w:rPr>
          <w:rFonts w:ascii="Arial" w:hAnsi="Arial" w:cs="Arial"/>
          <w:lang w:eastAsia="en-US"/>
        </w:rPr>
      </w:pPr>
      <w:r w:rsidRPr="00245361">
        <w:rPr>
          <w:rFonts w:ascii="Arial" w:hAnsi="Arial" w:cs="Arial"/>
          <w:lang w:eastAsia="en-US"/>
        </w:rPr>
        <w:t xml:space="preserve">Rationale: </w:t>
      </w:r>
    </w:p>
    <w:p w14:paraId="3C94E2ED" w14:textId="77777777" w:rsidR="00245361" w:rsidRPr="00245361" w:rsidRDefault="00245361" w:rsidP="00245361">
      <w:pPr>
        <w:rPr>
          <w:rFonts w:ascii="Arial" w:hAnsi="Arial" w:cs="Arial"/>
          <w:lang w:eastAsia="en-US"/>
        </w:rPr>
      </w:pPr>
      <w:r w:rsidRPr="00245361">
        <w:rPr>
          <w:rFonts w:ascii="Arial" w:hAnsi="Arial" w:cs="Arial"/>
          <w:lang w:eastAsia="en-US"/>
        </w:rPr>
        <w:t>It is suggested that Thousand-Blocks can be activated in a shortened interval (</w:t>
      </w:r>
      <w:proofErr w:type="spellStart"/>
      <w:r w:rsidRPr="00245361">
        <w:rPr>
          <w:rFonts w:ascii="Arial" w:hAnsi="Arial" w:cs="Arial"/>
          <w:lang w:eastAsia="en-US"/>
        </w:rPr>
        <w:t>eg</w:t>
      </w:r>
      <w:proofErr w:type="spellEnd"/>
      <w:r w:rsidRPr="00245361">
        <w:rPr>
          <w:rFonts w:ascii="Arial" w:hAnsi="Arial" w:cs="Arial"/>
          <w:lang w:eastAsia="en-US"/>
        </w:rPr>
        <w:t xml:space="preserve"> 33 days vs 66 days). This condition is only applicable if numbering inventory has been previously made available to the PA.  However, if the applicant’s request exceeds currently available PA inventory, a new CO code application is required, extending this period to a minimum of 66 days.  TSPs should always plan for the longer activation period of 66 days, though it could in some cases, be less.</w:t>
      </w:r>
    </w:p>
    <w:p w14:paraId="36D2801B" w14:textId="77777777" w:rsidR="00245361" w:rsidRPr="00245361" w:rsidRDefault="00245361" w:rsidP="00245361">
      <w:pPr>
        <w:rPr>
          <w:rFonts w:ascii="Arial" w:hAnsi="Arial" w:cs="Arial"/>
          <w:lang w:eastAsia="en-US"/>
        </w:rPr>
      </w:pPr>
    </w:p>
    <w:p w14:paraId="584B3963" w14:textId="77777777" w:rsidR="00245361" w:rsidRPr="00245361" w:rsidRDefault="00245361" w:rsidP="00245361">
      <w:pPr>
        <w:rPr>
          <w:rFonts w:ascii="Arial" w:hAnsi="Arial" w:cs="Arial"/>
          <w:lang w:eastAsia="en-US"/>
        </w:rPr>
      </w:pPr>
      <w:r w:rsidRPr="00245361">
        <w:rPr>
          <w:rFonts w:ascii="Arial" w:hAnsi="Arial" w:cs="Arial"/>
          <w:lang w:eastAsia="en-US"/>
        </w:rPr>
        <w:t>Moving from the current 12 months to the proposed 6 months-to-exhaust timeline would not produce any significant benefits towards aiding in the conservation of numbers.</w:t>
      </w:r>
    </w:p>
    <w:p w14:paraId="58E57CDB" w14:textId="77777777" w:rsidR="00245361" w:rsidRPr="00245361" w:rsidRDefault="00245361" w:rsidP="00245361">
      <w:pPr>
        <w:rPr>
          <w:rFonts w:ascii="Arial" w:hAnsi="Arial" w:cs="Arial"/>
          <w:lang w:eastAsia="en-US"/>
        </w:rPr>
      </w:pPr>
    </w:p>
    <w:p w14:paraId="76F3BAFE" w14:textId="77777777" w:rsidR="00245361" w:rsidRPr="00245361" w:rsidRDefault="00245361" w:rsidP="00245361">
      <w:pPr>
        <w:rPr>
          <w:rFonts w:ascii="Arial" w:hAnsi="Arial" w:cs="Arial"/>
          <w:lang w:eastAsia="en-US"/>
        </w:rPr>
      </w:pPr>
      <w:r w:rsidRPr="00245361">
        <w:rPr>
          <w:rFonts w:ascii="Arial" w:hAnsi="Arial" w:cs="Arial"/>
          <w:lang w:eastAsia="en-US"/>
        </w:rPr>
        <w:t>Risk:</w:t>
      </w:r>
    </w:p>
    <w:p w14:paraId="7F598F84" w14:textId="77777777" w:rsidR="00245361" w:rsidRPr="00245361" w:rsidRDefault="00245361" w:rsidP="00245361">
      <w:pPr>
        <w:rPr>
          <w:rFonts w:ascii="Arial" w:hAnsi="Arial" w:cs="Arial"/>
          <w:lang w:eastAsia="en-US"/>
        </w:rPr>
      </w:pPr>
      <w:r w:rsidRPr="00245361">
        <w:rPr>
          <w:rFonts w:ascii="Arial" w:hAnsi="Arial" w:cs="Arial"/>
          <w:lang w:eastAsia="en-US"/>
        </w:rPr>
        <w:t>Moving the Industry toward just-in-time inventory management comes with much higher risks that reduces and limits each Telco’s ability to react and response independently to its own specific corporate needs.</w:t>
      </w:r>
    </w:p>
    <w:p w14:paraId="29E3B4DD" w14:textId="77777777" w:rsidR="00245361" w:rsidRPr="00245361" w:rsidRDefault="00245361" w:rsidP="00245361">
      <w:pPr>
        <w:rPr>
          <w:rFonts w:ascii="Arial" w:hAnsi="Arial" w:cs="Arial"/>
          <w:lang w:eastAsia="en-US"/>
        </w:rPr>
      </w:pPr>
    </w:p>
    <w:p w14:paraId="1F9E4A25" w14:textId="77777777" w:rsidR="00245361" w:rsidRPr="00245361" w:rsidRDefault="00245361" w:rsidP="00245361">
      <w:pPr>
        <w:rPr>
          <w:rFonts w:ascii="Arial" w:hAnsi="Arial" w:cs="Arial"/>
          <w:lang w:eastAsia="en-US"/>
        </w:rPr>
      </w:pPr>
    </w:p>
    <w:p w14:paraId="168F2857" w14:textId="77777777" w:rsidR="00245361" w:rsidRPr="00245361" w:rsidRDefault="00245361" w:rsidP="00245361">
      <w:pPr>
        <w:rPr>
          <w:rFonts w:ascii="Arial" w:hAnsi="Arial" w:cs="Arial"/>
        </w:rPr>
      </w:pPr>
      <w:r w:rsidRPr="00245361">
        <w:rPr>
          <w:rFonts w:ascii="Arial" w:hAnsi="Arial" w:cs="Arial"/>
          <w:b/>
          <w:bCs/>
          <w:u w:val="single"/>
        </w:rPr>
        <w:t>Recommendation 2 from CNCO248A:</w:t>
      </w:r>
      <w:r w:rsidRPr="00245361">
        <w:rPr>
          <w:rFonts w:ascii="Arial" w:hAnsi="Arial" w:cs="Arial"/>
        </w:rPr>
        <w:tab/>
        <w:t xml:space="preserve">Carriers shall be deemed ineligible for additional geographic numbering resources for growth in an Exchange Area where the carrier’s utilization of TNs is less than 75%.  Carriers requiring additional geographic TNs that do not meet the 75% utilization threshold may apply to the CRTC for an exception.  For each application for additional (growth) geographic TN resources, Exchange Area Utilization shall be calculated by the applicant in accordance with the formula and definitions below.  The required calculation shall be part of an amended Appendix B to the </w:t>
      </w:r>
      <w:r w:rsidRPr="00245361">
        <w:rPr>
          <w:rFonts w:ascii="Arial" w:hAnsi="Arial" w:cs="Arial"/>
          <w:i/>
          <w:iCs/>
        </w:rPr>
        <w:t>Canadian Central Office Code (NXX) Assignment Guideline</w:t>
      </w:r>
      <w:r w:rsidRPr="00245361">
        <w:rPr>
          <w:rFonts w:ascii="Arial" w:hAnsi="Arial" w:cs="Arial"/>
        </w:rPr>
        <w:t>.</w:t>
      </w:r>
    </w:p>
    <w:p w14:paraId="0D0B3C3E" w14:textId="77777777" w:rsidR="00245361" w:rsidRPr="00245361" w:rsidRDefault="00245361" w:rsidP="00245361">
      <w:pPr>
        <w:rPr>
          <w:rFonts w:ascii="Arial" w:hAnsi="Arial" w:cs="Arial"/>
          <w:lang w:eastAsia="en-US"/>
        </w:rPr>
      </w:pPr>
    </w:p>
    <w:p w14:paraId="0312D791" w14:textId="77777777" w:rsidR="00245361" w:rsidRPr="00245361" w:rsidRDefault="00245361" w:rsidP="00245361">
      <w:pPr>
        <w:rPr>
          <w:rFonts w:ascii="Arial" w:hAnsi="Arial" w:cs="Arial"/>
          <w:lang w:eastAsia="en-US"/>
        </w:rPr>
      </w:pPr>
    </w:p>
    <w:p w14:paraId="04E47C45" w14:textId="77777777" w:rsidR="00245361" w:rsidRPr="00245361" w:rsidRDefault="00245361" w:rsidP="00245361">
      <w:pPr>
        <w:rPr>
          <w:rFonts w:ascii="Arial" w:hAnsi="Arial" w:cs="Arial"/>
          <w:b/>
          <w:bCs/>
          <w:lang w:eastAsia="en-US"/>
        </w:rPr>
      </w:pPr>
      <w:r w:rsidRPr="00245361">
        <w:rPr>
          <w:rFonts w:ascii="Arial" w:hAnsi="Arial" w:cs="Arial"/>
          <w:b/>
          <w:bCs/>
          <w:lang w:eastAsia="en-US"/>
        </w:rPr>
        <w:t>Utilization Recommendation:</w:t>
      </w:r>
    </w:p>
    <w:p w14:paraId="4C800516" w14:textId="77777777" w:rsidR="00245361" w:rsidRPr="00245361" w:rsidRDefault="00245361" w:rsidP="00245361">
      <w:pPr>
        <w:rPr>
          <w:rFonts w:ascii="Arial" w:hAnsi="Arial" w:cs="Arial"/>
          <w:color w:val="FF0000"/>
          <w:lang w:eastAsia="en-US"/>
        </w:rPr>
      </w:pPr>
      <w:r w:rsidRPr="00245361">
        <w:rPr>
          <w:rFonts w:ascii="Arial" w:hAnsi="Arial" w:cs="Arial"/>
          <w:color w:val="FF0000"/>
          <w:lang w:eastAsia="en-US"/>
        </w:rPr>
        <w:t>75% utilization should not be used as a qualifier for ordering numbering resources as there is no consideration for forecasting changes or periodic activation spikes.  Continue use of the current Appendix B assignment methodology, while implementing the necessary changes that capture TB assignments.</w:t>
      </w:r>
    </w:p>
    <w:p w14:paraId="664FF94B" w14:textId="77777777" w:rsidR="00245361" w:rsidRPr="00245361" w:rsidRDefault="00245361" w:rsidP="00245361">
      <w:pPr>
        <w:rPr>
          <w:rFonts w:ascii="Arial" w:hAnsi="Arial" w:cs="Arial"/>
          <w:color w:val="FF0000"/>
          <w:lang w:eastAsia="en-US"/>
        </w:rPr>
      </w:pPr>
    </w:p>
    <w:p w14:paraId="251B9AC6" w14:textId="77777777" w:rsidR="00245361" w:rsidRPr="00245361" w:rsidRDefault="00245361" w:rsidP="00245361">
      <w:pPr>
        <w:rPr>
          <w:rFonts w:ascii="Arial" w:hAnsi="Arial" w:cs="Arial"/>
          <w:lang w:eastAsia="en-US"/>
        </w:rPr>
      </w:pPr>
      <w:r w:rsidRPr="00245361">
        <w:rPr>
          <w:rFonts w:ascii="Arial" w:hAnsi="Arial" w:cs="Arial"/>
          <w:lang w:eastAsia="en-US"/>
        </w:rPr>
        <w:t>Rationale:</w:t>
      </w:r>
    </w:p>
    <w:p w14:paraId="2F0D6051" w14:textId="77777777" w:rsidR="00245361" w:rsidRPr="00245361" w:rsidRDefault="00245361" w:rsidP="00245361">
      <w:pPr>
        <w:rPr>
          <w:rFonts w:ascii="Arial" w:hAnsi="Arial" w:cs="Arial"/>
          <w:lang w:eastAsia="en-US"/>
        </w:rPr>
      </w:pPr>
      <w:r w:rsidRPr="00245361">
        <w:rPr>
          <w:rFonts w:ascii="Arial" w:hAnsi="Arial" w:cs="Arial"/>
          <w:lang w:eastAsia="en-US"/>
        </w:rPr>
        <w:t xml:space="preserve">Utilization does not consider forecasting adjustments or growth changes that occur periodically throughout the year.  Utilization values from periods of lower growth may </w:t>
      </w:r>
      <w:r w:rsidRPr="00245361">
        <w:rPr>
          <w:rFonts w:ascii="Arial" w:hAnsi="Arial" w:cs="Arial"/>
          <w:lang w:eastAsia="en-US"/>
        </w:rPr>
        <w:lastRenderedPageBreak/>
        <w:t>not amount to 75% utilization which may jeopardize a company’s ability to order numbering resources in preparation for peak seasons or unforeseen consumer demands.</w:t>
      </w:r>
    </w:p>
    <w:p w14:paraId="2F34DAB8" w14:textId="77777777" w:rsidR="00245361" w:rsidRPr="00245361" w:rsidRDefault="00245361" w:rsidP="00245361">
      <w:pPr>
        <w:rPr>
          <w:rFonts w:ascii="Arial" w:hAnsi="Arial" w:cs="Arial"/>
          <w:lang w:eastAsia="en-US"/>
        </w:rPr>
      </w:pPr>
    </w:p>
    <w:p w14:paraId="19B78FC6" w14:textId="77777777" w:rsidR="00245361" w:rsidRPr="00245361" w:rsidRDefault="00245361" w:rsidP="00245361">
      <w:pPr>
        <w:rPr>
          <w:rFonts w:ascii="Arial" w:hAnsi="Arial" w:cs="Arial"/>
          <w:lang w:eastAsia="en-US"/>
        </w:rPr>
      </w:pPr>
      <w:r w:rsidRPr="00245361">
        <w:rPr>
          <w:rFonts w:ascii="Arial" w:hAnsi="Arial" w:cs="Arial"/>
          <w:lang w:eastAsia="en-US"/>
        </w:rPr>
        <w:t>Risk:</w:t>
      </w:r>
    </w:p>
    <w:p w14:paraId="47ACD998" w14:textId="4D7A624C" w:rsidR="00245361" w:rsidRPr="00245361" w:rsidRDefault="00245361">
      <w:pPr>
        <w:rPr>
          <w:rFonts w:ascii="Arial" w:hAnsi="Arial" w:cs="Arial"/>
          <w:lang w:eastAsia="en-US"/>
        </w:rPr>
      </w:pPr>
      <w:r w:rsidRPr="00245361">
        <w:rPr>
          <w:rFonts w:ascii="Arial" w:hAnsi="Arial" w:cs="Arial"/>
          <w:lang w:eastAsia="en-US"/>
        </w:rPr>
        <w:t>Does not consider growth spikes and could put a TSP exchange in jeopardy condition.</w:t>
      </w:r>
    </w:p>
    <w:sectPr w:rsidR="00245361" w:rsidRPr="002453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5C"/>
    <w:rsid w:val="00245361"/>
    <w:rsid w:val="003C0BD7"/>
    <w:rsid w:val="0051275C"/>
    <w:rsid w:val="005E39EF"/>
    <w:rsid w:val="0072123C"/>
    <w:rsid w:val="00CE5BC5"/>
    <w:rsid w:val="00E95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02F"/>
  <w15:chartTrackingRefBased/>
  <w15:docId w15:val="{586A247B-6118-43BC-8473-70708A84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03"/>
    <w:pPr>
      <w:spacing w:after="0" w:line="240" w:lineRule="auto"/>
    </w:pPr>
    <w:rPr>
      <w:rFonts w:ascii="Times New Roman" w:eastAsia="Times New Roman" w:hAnsi="Times New Roman" w:cs="Times New Roman"/>
      <w:kern w:val="0"/>
      <w:sz w:val="24"/>
      <w:szCs w:val="24"/>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0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ham.LeGeyt@rci.rogers.com" TargetMode="External"/><Relationship Id="rId3" Type="http://schemas.openxmlformats.org/officeDocument/2006/relationships/styles" Target="styles.xml"/><Relationship Id="rId7" Type="http://schemas.openxmlformats.org/officeDocument/2006/relationships/hyperlink" Target="mailto:ken.shackleton@rci.rogers.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jennifer.mack@rci.roger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ren@krobsolutions.ca" TargetMode="External"/><Relationship Id="rId4" Type="http://schemas.openxmlformats.org/officeDocument/2006/relationships/settings" Target="settings.xml"/><Relationship Id="rId9" Type="http://schemas.openxmlformats.org/officeDocument/2006/relationships/hyperlink" Target="mailto:leo.santoro@be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CB29D-7324-4123-A8E3-38CC79F2D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6D95F-A266-4C5D-AD83-83E9268CD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Rogers Communications Inc.</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Mack</dc:creator>
  <cp:keywords/>
  <dc:description/>
  <cp:lastModifiedBy>David Comrie</cp:lastModifiedBy>
  <cp:revision>2</cp:revision>
  <dcterms:created xsi:type="dcterms:W3CDTF">2024-05-27T19:27:00Z</dcterms:created>
  <dcterms:modified xsi:type="dcterms:W3CDTF">2024-05-28T10:10:00Z</dcterms:modified>
</cp:coreProperties>
</file>