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97486262"/>
        <w:docPartObj>
          <w:docPartGallery w:val="Cover Pages"/>
          <w:docPartUnique/>
        </w:docPartObj>
      </w:sdtPr>
      <w:sdtEndPr>
        <w:rPr>
          <w:b/>
          <w:bCs/>
        </w:rPr>
      </w:sdtEndPr>
      <w:sdtContent>
        <w:p w14:paraId="75C5E405" w14:textId="77777777" w:rsidR="00072C9C" w:rsidRPr="00072C9C" w:rsidRDefault="00072C9C" w:rsidP="00072C9C">
          <w:pPr>
            <w:rPr>
              <w:lang w:val="en-US"/>
            </w:rPr>
          </w:pPr>
          <w:r w:rsidRPr="00072C9C">
            <w:rPr>
              <w:b/>
              <w:bCs/>
              <w:lang w:val="en-US"/>
            </w:rPr>
            <w:t>CRTC INTERCONNECTION STEERING COMMITTEE</w:t>
          </w:r>
        </w:p>
        <w:p w14:paraId="43C97DD7" w14:textId="77777777" w:rsidR="00072C9C" w:rsidRPr="00072C9C" w:rsidRDefault="00072C9C" w:rsidP="00072C9C">
          <w:pPr>
            <w:rPr>
              <w:lang w:val="en-US"/>
            </w:rPr>
          </w:pPr>
          <w:r w:rsidRPr="00072C9C">
            <w:rPr>
              <w:b/>
              <w:bCs/>
              <w:u w:val="single"/>
              <w:lang w:val="en-US"/>
            </w:rPr>
            <w:t>CONTRIBUTION FORM:</w:t>
          </w:r>
        </w:p>
        <w:p w14:paraId="23ED7BD8" w14:textId="3833214C" w:rsidR="00072C9C" w:rsidRPr="00072C9C" w:rsidRDefault="00072C9C" w:rsidP="00072C9C">
          <w:pPr>
            <w:rPr>
              <w:lang w:val="en-US"/>
            </w:rPr>
          </w:pPr>
          <w:r w:rsidRPr="00072C9C">
            <w:rPr>
              <w:b/>
              <w:bCs/>
              <w:lang w:val="en-US"/>
            </w:rPr>
            <w:t>Working Group:            </w:t>
          </w:r>
          <w:r w:rsidRPr="00072C9C">
            <w:rPr>
              <w:lang w:val="en-US"/>
            </w:rPr>
            <w:t>CSCN</w:t>
          </w:r>
          <w:r w:rsidRPr="00072C9C">
            <w:rPr>
              <w:b/>
              <w:bCs/>
              <w:lang w:val="en-US"/>
            </w:rPr>
            <w:t>                                          Date of Submission:</w:t>
          </w:r>
          <w:r>
            <w:rPr>
              <w:b/>
              <w:bCs/>
              <w:lang w:val="en-US"/>
            </w:rPr>
            <w:t xml:space="preserve">    </w:t>
          </w:r>
          <w:r w:rsidRPr="00072C9C">
            <w:rPr>
              <w:lang w:val="en-US"/>
            </w:rPr>
            <w:t>2024-05-07</w:t>
          </w:r>
        </w:p>
        <w:p w14:paraId="68B4E608" w14:textId="66500689" w:rsidR="00072C9C" w:rsidRPr="00072C9C" w:rsidRDefault="00072C9C" w:rsidP="00072C9C">
          <w:pPr>
            <w:rPr>
              <w:lang w:val="en-US"/>
            </w:rPr>
          </w:pPr>
          <w:r w:rsidRPr="00072C9C">
            <w:rPr>
              <w:b/>
              <w:bCs/>
              <w:lang w:val="en-US"/>
            </w:rPr>
            <w:t>Contribution #:</w:t>
          </w:r>
          <w:r>
            <w:rPr>
              <w:b/>
              <w:bCs/>
              <w:lang w:val="en-US"/>
            </w:rPr>
            <w:tab/>
          </w:r>
          <w:r w:rsidRPr="00072C9C">
            <w:rPr>
              <w:lang w:val="en-US"/>
            </w:rPr>
            <w:t>241A</w:t>
          </w:r>
        </w:p>
        <w:p w14:paraId="7EE9B591" w14:textId="435AB5B5" w:rsidR="00072C9C" w:rsidRPr="00072C9C" w:rsidRDefault="00072C9C" w:rsidP="00072C9C">
          <w:pPr>
            <w:rPr>
              <w:lang w:val="en-US"/>
            </w:rPr>
          </w:pPr>
          <w:r w:rsidRPr="00072C9C">
            <w:rPr>
              <w:b/>
              <w:bCs/>
              <w:lang w:val="en-US"/>
            </w:rPr>
            <w:t>TIF #:         </w:t>
          </w:r>
          <w:r w:rsidRPr="00072C9C">
            <w:rPr>
              <w:lang w:val="en-US"/>
            </w:rPr>
            <w:t>118 (also TIF 119)</w:t>
          </w:r>
          <w:r w:rsidRPr="00072C9C">
            <w:rPr>
              <w:lang w:val="en-US"/>
            </w:rPr>
            <w:t xml:space="preserve">                                                                </w:t>
          </w:r>
          <w:r w:rsidRPr="00072C9C">
            <w:rPr>
              <w:b/>
              <w:bCs/>
              <w:lang w:val="en-US"/>
            </w:rPr>
            <w:t>File ID:</w:t>
          </w:r>
          <w:r w:rsidRPr="00072C9C">
            <w:rPr>
              <w:b/>
              <w:bCs/>
              <w:lang w:val="en-US"/>
            </w:rPr>
            <w:t xml:space="preserve">    </w:t>
          </w:r>
          <w:r w:rsidRPr="00072C9C">
            <w:rPr>
              <w:lang w:val="en-US"/>
            </w:rPr>
            <w:t>CNCO241A</w:t>
          </w:r>
        </w:p>
        <w:p w14:paraId="66E774C2" w14:textId="1CF29978" w:rsidR="00072C9C" w:rsidRPr="00072C9C" w:rsidRDefault="00072C9C" w:rsidP="00072C9C">
          <w:pPr>
            <w:rPr>
              <w:lang w:val="en-US"/>
            </w:rPr>
          </w:pPr>
          <w:r w:rsidRPr="00072C9C">
            <w:rPr>
              <w:b/>
              <w:bCs/>
              <w:lang w:val="en-US"/>
            </w:rPr>
            <w:t>Task Title:</w:t>
          </w:r>
          <w:r>
            <w:rPr>
              <w:b/>
              <w:bCs/>
              <w:lang w:val="en-US"/>
            </w:rPr>
            <w:t xml:space="preserve">  </w:t>
          </w:r>
          <w:r w:rsidRPr="00072C9C">
            <w:rPr>
              <w:lang w:val="en-US"/>
            </w:rPr>
            <w:t>Update CSCN-Administered Guidelines for Thousands-Block Pooling</w:t>
          </w:r>
        </w:p>
        <w:p w14:paraId="587724B2" w14:textId="77777777" w:rsidR="00072C9C" w:rsidRPr="00072C9C" w:rsidRDefault="00072C9C" w:rsidP="00072C9C">
          <w:pPr>
            <w:rPr>
              <w:lang w:val="en-US"/>
            </w:rPr>
          </w:pPr>
          <w:r w:rsidRPr="00072C9C">
            <w:rPr>
              <w:b/>
              <w:bCs/>
              <w:lang w:val="en-US"/>
            </w:rPr>
            <w:t>Related to Task(s) ID:</w:t>
          </w:r>
        </w:p>
        <w:p w14:paraId="6DC7A1EB" w14:textId="77777777" w:rsidR="00072C9C" w:rsidRPr="00072C9C" w:rsidRDefault="00072C9C" w:rsidP="00072C9C">
          <w:pPr>
            <w:rPr>
              <w:lang w:val="en-US"/>
            </w:rPr>
          </w:pPr>
          <w:r w:rsidRPr="00072C9C">
            <w:rPr>
              <w:b/>
              <w:bCs/>
              <w:lang w:val="en-US"/>
            </w:rPr>
            <w:t>Contributor:</w:t>
          </w:r>
        </w:p>
        <w:p w14:paraId="1E9BABBC" w14:textId="0CC1C397" w:rsidR="00072C9C" w:rsidRPr="00072C9C" w:rsidRDefault="00072C9C" w:rsidP="00072C9C">
          <w:pPr>
            <w:rPr>
              <w:lang w:val="en-US"/>
            </w:rPr>
          </w:pPr>
          <w:r w:rsidRPr="00072C9C">
            <w:rPr>
              <w:b/>
              <w:bCs/>
              <w:lang w:val="en-US"/>
            </w:rPr>
            <w:t>            Name:</w:t>
          </w:r>
          <w:r>
            <w:rPr>
              <w:b/>
              <w:bCs/>
              <w:lang w:val="en-US"/>
            </w:rPr>
            <w:tab/>
          </w:r>
          <w:r w:rsidRPr="00072C9C">
            <w:rPr>
              <w:lang w:val="en-US"/>
            </w:rPr>
            <w:t>Ed Antecol</w:t>
          </w:r>
        </w:p>
        <w:p w14:paraId="55180C69" w14:textId="2CFCDE64" w:rsidR="00072C9C" w:rsidRPr="00072C9C" w:rsidRDefault="00072C9C" w:rsidP="00072C9C">
          <w:pPr>
            <w:rPr>
              <w:lang w:val="en-US"/>
            </w:rPr>
          </w:pPr>
          <w:r w:rsidRPr="00072C9C">
            <w:rPr>
              <w:b/>
              <w:bCs/>
              <w:lang w:val="en-US"/>
            </w:rPr>
            <w:t>            Company:</w:t>
          </w:r>
          <w:r>
            <w:rPr>
              <w:b/>
              <w:bCs/>
              <w:lang w:val="en-US"/>
            </w:rPr>
            <w:tab/>
          </w:r>
          <w:r w:rsidRPr="00072C9C">
            <w:rPr>
              <w:lang w:val="en-US"/>
            </w:rPr>
            <w:t>COMsolve Inc</w:t>
          </w:r>
          <w:r>
            <w:rPr>
              <w:b/>
              <w:bCs/>
              <w:lang w:val="en-US"/>
            </w:rPr>
            <w:t>.</w:t>
          </w:r>
        </w:p>
        <w:p w14:paraId="16A0EC11" w14:textId="77777777" w:rsidR="00072C9C" w:rsidRPr="00072C9C" w:rsidRDefault="00072C9C" w:rsidP="00072C9C">
          <w:pPr>
            <w:rPr>
              <w:lang w:val="en-US"/>
            </w:rPr>
          </w:pPr>
          <w:r w:rsidRPr="00072C9C">
            <w:rPr>
              <w:b/>
              <w:bCs/>
              <w:lang w:val="en-US"/>
            </w:rPr>
            <w:t>            Address:</w:t>
          </w:r>
        </w:p>
        <w:p w14:paraId="368D0C70" w14:textId="77777777" w:rsidR="00072C9C" w:rsidRPr="00072C9C" w:rsidRDefault="00072C9C" w:rsidP="00072C9C">
          <w:pPr>
            <w:rPr>
              <w:lang w:val="en-US"/>
            </w:rPr>
          </w:pPr>
          <w:r w:rsidRPr="00072C9C">
            <w:rPr>
              <w:b/>
              <w:bCs/>
              <w:lang w:val="en-US"/>
            </w:rPr>
            <w:t>            Tel:</w:t>
          </w:r>
        </w:p>
        <w:p w14:paraId="5C22EA5F" w14:textId="77777777" w:rsidR="00072C9C" w:rsidRPr="00072C9C" w:rsidRDefault="00072C9C" w:rsidP="00072C9C">
          <w:pPr>
            <w:rPr>
              <w:lang w:val="en-US"/>
            </w:rPr>
          </w:pPr>
          <w:r w:rsidRPr="00072C9C">
            <w:rPr>
              <w:b/>
              <w:bCs/>
              <w:lang w:val="en-US"/>
            </w:rPr>
            <w:t>            Fax:</w:t>
          </w:r>
        </w:p>
        <w:p w14:paraId="42861581" w14:textId="67611DCC" w:rsidR="00072C9C" w:rsidRPr="00072C9C" w:rsidRDefault="00072C9C" w:rsidP="00072C9C">
          <w:pPr>
            <w:rPr>
              <w:lang w:val="en-US"/>
            </w:rPr>
          </w:pPr>
          <w:r w:rsidRPr="00072C9C">
            <w:rPr>
              <w:b/>
              <w:bCs/>
              <w:lang w:val="en-US"/>
            </w:rPr>
            <w:t>            E-mail:</w:t>
          </w:r>
          <w:r>
            <w:rPr>
              <w:b/>
              <w:bCs/>
              <w:lang w:val="en-US"/>
            </w:rPr>
            <w:tab/>
          </w:r>
          <w:r w:rsidRPr="00072C9C">
            <w:rPr>
              <w:lang w:val="en-US"/>
            </w:rPr>
            <w:t>Edward.antecol@comsolveinc.com</w:t>
          </w:r>
        </w:p>
        <w:p w14:paraId="2CF3CB48" w14:textId="26FBDEB5" w:rsidR="00072C9C" w:rsidRPr="00072C9C" w:rsidRDefault="00072C9C" w:rsidP="00072C9C">
          <w:pPr>
            <w:rPr>
              <w:lang w:val="en-US"/>
            </w:rPr>
          </w:pPr>
          <w:r w:rsidRPr="00072C9C">
            <w:rPr>
              <w:b/>
              <w:bCs/>
              <w:lang w:val="en-US"/>
            </w:rPr>
            <w:t>Distribution to:</w:t>
          </w:r>
          <w:r>
            <w:rPr>
              <w:b/>
              <w:bCs/>
              <w:lang w:val="en-US"/>
            </w:rPr>
            <w:tab/>
          </w:r>
          <w:r w:rsidRPr="00072C9C">
            <w:rPr>
              <w:lang w:val="en-US"/>
            </w:rPr>
            <w:t>CSCN</w:t>
          </w:r>
        </w:p>
        <w:p w14:paraId="1FCA65B2" w14:textId="77777777" w:rsidR="00072C9C" w:rsidRDefault="00072C9C" w:rsidP="00072C9C">
          <w:pPr>
            <w:rPr>
              <w:b/>
              <w:bCs/>
              <w:lang w:val="en-US"/>
            </w:rPr>
          </w:pPr>
          <w:r w:rsidRPr="00072C9C">
            <w:rPr>
              <w:b/>
              <w:bCs/>
              <w:lang w:val="en-US"/>
            </w:rPr>
            <w:t>Subject:</w:t>
          </w:r>
        </w:p>
        <w:p w14:paraId="1618B4FC" w14:textId="64AB4149" w:rsidR="00072C9C" w:rsidRPr="00072C9C" w:rsidRDefault="00072C9C" w:rsidP="00072C9C">
          <w:pPr>
            <w:rPr>
              <w:lang w:val="en-US"/>
            </w:rPr>
          </w:pPr>
          <w:r w:rsidRPr="00072C9C">
            <w:rPr>
              <w:lang w:val="en-US"/>
            </w:rPr>
            <w:t>Semi-annual forecasting requirements</w:t>
          </w:r>
        </w:p>
        <w:p w14:paraId="011ECA51" w14:textId="32AC1DA7" w:rsidR="00072C9C" w:rsidRDefault="00072C9C"/>
        <w:p w14:paraId="590B3882" w14:textId="1EE3B815" w:rsidR="00072C9C" w:rsidRDefault="00072C9C">
          <w:pPr>
            <w:rPr>
              <w:b/>
              <w:bCs/>
            </w:rPr>
          </w:pPr>
          <w:r>
            <w:rPr>
              <w:b/>
              <w:bCs/>
            </w:rPr>
            <w:br w:type="page"/>
          </w:r>
        </w:p>
      </w:sdtContent>
    </w:sdt>
    <w:p w14:paraId="56758E03" w14:textId="5A67BEAF" w:rsidR="00A06AEC" w:rsidRDefault="00A06AEC" w:rsidP="0015607C">
      <w:pPr>
        <w:rPr>
          <w:b/>
          <w:bCs/>
        </w:rPr>
      </w:pPr>
      <w:r>
        <w:rPr>
          <w:b/>
          <w:bCs/>
        </w:rPr>
        <w:lastRenderedPageBreak/>
        <w:t>Introduction</w:t>
      </w:r>
    </w:p>
    <w:p w14:paraId="1242B739" w14:textId="1F65C570" w:rsidR="00A06AEC" w:rsidRDefault="00A06AEC" w:rsidP="0015607C">
      <w:pPr>
        <w:rPr>
          <w:b/>
          <w:bCs/>
        </w:rPr>
      </w:pPr>
      <w:r w:rsidRPr="00A06AEC">
        <w:t xml:space="preserve">This submission </w:t>
      </w:r>
      <w:r>
        <w:t>presents a proposal for new forecasting requirements to improve Canadian number utilization by carriers, and to ensure carriers are returning unused Thousands-Blocks as appropriate.</w:t>
      </w:r>
    </w:p>
    <w:p w14:paraId="1E1BC14C" w14:textId="77777777" w:rsidR="00A06AEC" w:rsidRDefault="00A06AEC" w:rsidP="0015607C">
      <w:pPr>
        <w:rPr>
          <w:b/>
          <w:bCs/>
        </w:rPr>
      </w:pPr>
    </w:p>
    <w:p w14:paraId="030162CA" w14:textId="1E542BA9" w:rsidR="0015607C" w:rsidRPr="0015607C" w:rsidRDefault="0015607C" w:rsidP="0015607C">
      <w:pPr>
        <w:rPr>
          <w:b/>
          <w:bCs/>
        </w:rPr>
      </w:pPr>
      <w:r w:rsidRPr="0015607C">
        <w:rPr>
          <w:b/>
          <w:bCs/>
        </w:rPr>
        <w:t>NRUF in the United States</w:t>
      </w:r>
    </w:p>
    <w:p w14:paraId="673784EB" w14:textId="456E0BA3" w:rsidR="0015607C" w:rsidRDefault="0015607C" w:rsidP="0015607C">
      <w:r>
        <w:t xml:space="preserve">NANPA is required to collect, </w:t>
      </w:r>
      <w:proofErr w:type="gramStart"/>
      <w:r>
        <w:t>store</w:t>
      </w:r>
      <w:proofErr w:type="gramEnd"/>
      <w:r>
        <w:t xml:space="preserve"> and maintain number </w:t>
      </w:r>
      <w:r w:rsidRPr="0015607C">
        <w:rPr>
          <w:b/>
          <w:bCs/>
          <w:u w:val="single"/>
        </w:rPr>
        <w:t>resource utilization</w:t>
      </w:r>
      <w:r>
        <w:t xml:space="preserve"> and </w:t>
      </w:r>
      <w:r w:rsidRPr="0015607C">
        <w:rPr>
          <w:b/>
          <w:bCs/>
          <w:u w:val="single"/>
        </w:rPr>
        <w:t>forecast data</w:t>
      </w:r>
      <w:r>
        <w:t xml:space="preserve">. Following FCC's rules, assignees holding geographic and/or certain non-geographic (NPA 5XX and 900) telephone numbers must report on their holdings twice each year (February 1 and August </w:t>
      </w:r>
      <w:proofErr w:type="gramStart"/>
      <w:r>
        <w:t>1)using</w:t>
      </w:r>
      <w:proofErr w:type="gramEnd"/>
      <w:r>
        <w:t xml:space="preserve"> the Form 502, the Numbering Resource Utilization/Forecast (NRUF) Report.</w:t>
      </w:r>
      <w:r w:rsidRPr="000221E8">
        <w:rPr>
          <w:sz w:val="20"/>
          <w:szCs w:val="20"/>
          <w:vertAlign w:val="superscript"/>
        </w:rPr>
        <w:footnoteReference w:id="1"/>
      </w:r>
    </w:p>
    <w:p w14:paraId="618404EE" w14:textId="64A14C4A" w:rsidR="00B01C81" w:rsidRDefault="00000000" w:rsidP="0015607C">
      <w:pPr>
        <w:pStyle w:val="listcontent"/>
        <w:shd w:val="clear" w:color="auto" w:fill="FFFFFF"/>
        <w:spacing w:after="225" w:afterAutospacing="0" w:line="240" w:lineRule="atLeast"/>
        <w:rPr>
          <w:rFonts w:asciiTheme="minorHAnsi" w:eastAsiaTheme="minorHAnsi" w:hAnsiTheme="minorHAnsi" w:cstheme="minorBidi"/>
          <w:kern w:val="2"/>
          <w:sz w:val="22"/>
          <w:szCs w:val="22"/>
          <w:lang w:eastAsia="en-US"/>
          <w14:ligatures w14:val="standardContextual"/>
        </w:rPr>
      </w:pPr>
      <w:hyperlink r:id="rId8" w:history="1">
        <w:r w:rsidR="0015607C" w:rsidRPr="0015607C">
          <w:rPr>
            <w:rFonts w:asciiTheme="minorHAnsi" w:eastAsiaTheme="minorHAnsi" w:hAnsiTheme="minorHAnsi" w:cstheme="minorBidi"/>
            <w:kern w:val="2"/>
            <w:sz w:val="22"/>
            <w:szCs w:val="22"/>
            <w:lang w:eastAsia="en-US"/>
            <w14:ligatures w14:val="standardContextual"/>
          </w:rPr>
          <w:t>Geographic NRUF Form 502</w:t>
        </w:r>
      </w:hyperlink>
      <w:r w:rsidR="0015607C" w:rsidRPr="0015607C">
        <w:rPr>
          <w:rFonts w:asciiTheme="minorHAnsi" w:eastAsiaTheme="minorHAnsi" w:hAnsiTheme="minorHAnsi" w:cstheme="minorBidi"/>
          <w:kern w:val="2"/>
          <w:sz w:val="22"/>
          <w:szCs w:val="22"/>
          <w:lang w:eastAsia="en-US"/>
          <w14:ligatures w14:val="standardContextual"/>
        </w:rPr>
        <w:t xml:space="preserve"> — </w:t>
      </w:r>
      <w:r w:rsidR="00F21B66">
        <w:rPr>
          <w:rFonts w:asciiTheme="minorHAnsi" w:eastAsiaTheme="minorHAnsi" w:hAnsiTheme="minorHAnsi" w:cstheme="minorBidi"/>
          <w:kern w:val="2"/>
          <w:sz w:val="22"/>
          <w:szCs w:val="22"/>
          <w:lang w:eastAsia="en-US"/>
          <w14:ligatures w14:val="standardContextual"/>
        </w:rPr>
        <w:t xml:space="preserve">found at </w:t>
      </w:r>
      <w:hyperlink r:id="rId9" w:history="1">
        <w:r w:rsidR="00F21B66" w:rsidRPr="001D4FC6">
          <w:rPr>
            <w:rStyle w:val="Hyperlink"/>
            <w:rFonts w:asciiTheme="minorHAnsi" w:eastAsiaTheme="minorHAnsi" w:hAnsiTheme="minorHAnsi" w:cstheme="minorBidi"/>
            <w:kern w:val="2"/>
            <w:sz w:val="22"/>
            <w:szCs w:val="22"/>
            <w:lang w:eastAsia="en-US"/>
            <w14:ligatures w14:val="standardContextual"/>
          </w:rPr>
          <w:t>https://nationalnanpa.com/nruf_resources/index.html</w:t>
        </w:r>
      </w:hyperlink>
      <w:r w:rsidR="0015607C">
        <w:rPr>
          <w:rFonts w:asciiTheme="minorHAnsi" w:eastAsiaTheme="minorHAnsi" w:hAnsiTheme="minorHAnsi" w:cstheme="minorBidi"/>
          <w:kern w:val="2"/>
          <w:sz w:val="22"/>
          <w:szCs w:val="22"/>
          <w:lang w:eastAsia="en-US"/>
          <w14:ligatures w14:val="standardContextual"/>
        </w:rPr>
        <w:t>.</w:t>
      </w:r>
      <w:r w:rsidR="000221E8">
        <w:rPr>
          <w:rFonts w:asciiTheme="minorHAnsi" w:eastAsiaTheme="minorHAnsi" w:hAnsiTheme="minorHAnsi" w:cstheme="minorBidi"/>
          <w:kern w:val="2"/>
          <w:sz w:val="22"/>
          <w:szCs w:val="22"/>
          <w:lang w:eastAsia="en-US"/>
          <w14:ligatures w14:val="standardContextual"/>
        </w:rPr>
        <w:t xml:space="preserve">  </w:t>
      </w:r>
    </w:p>
    <w:p w14:paraId="34F0DC5E" w14:textId="60747682" w:rsidR="00B01C81" w:rsidRPr="00B01C81" w:rsidRDefault="00B01C81" w:rsidP="0015607C">
      <w:pPr>
        <w:pStyle w:val="listcontent"/>
        <w:shd w:val="clear" w:color="auto" w:fill="FFFFFF"/>
        <w:spacing w:after="225" w:afterAutospacing="0" w:line="240" w:lineRule="atLeast"/>
        <w:rPr>
          <w:rFonts w:asciiTheme="minorHAnsi" w:eastAsiaTheme="minorHAnsi" w:hAnsiTheme="minorHAnsi" w:cstheme="minorBidi"/>
          <w:b/>
          <w:bCs/>
          <w:kern w:val="2"/>
          <w:sz w:val="22"/>
          <w:szCs w:val="22"/>
          <w:lang w:eastAsia="en-US"/>
          <w14:ligatures w14:val="standardContextual"/>
        </w:rPr>
      </w:pPr>
      <w:r w:rsidRPr="00B01C81">
        <w:rPr>
          <w:rFonts w:asciiTheme="minorHAnsi" w:eastAsiaTheme="minorHAnsi" w:hAnsiTheme="minorHAnsi" w:cstheme="minorBidi"/>
          <w:b/>
          <w:bCs/>
          <w:kern w:val="2"/>
          <w:sz w:val="22"/>
          <w:szCs w:val="22"/>
          <w:lang w:eastAsia="en-US"/>
          <w14:ligatures w14:val="standardContextual"/>
        </w:rPr>
        <w:t>Utilization</w:t>
      </w:r>
    </w:p>
    <w:p w14:paraId="648D16B8" w14:textId="20BE05CA" w:rsidR="0015607C" w:rsidRDefault="000221E8" w:rsidP="0015607C">
      <w:pPr>
        <w:pStyle w:val="listcontent"/>
        <w:shd w:val="clear" w:color="auto" w:fill="FFFFFF"/>
        <w:spacing w:after="225" w:afterAutospacing="0" w:line="240" w:lineRule="atLeast"/>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Utilization reporting is by Rate Center (Exchange Area equivalent, and by inventory status.</w:t>
      </w:r>
    </w:p>
    <w:p w14:paraId="57F32BA6" w14:textId="6034A6C5" w:rsidR="0015607C" w:rsidRDefault="000221E8" w:rsidP="0015607C">
      <w:r w:rsidRPr="000221E8">
        <w:rPr>
          <w:noProof/>
        </w:rPr>
        <w:drawing>
          <wp:inline distT="0" distB="0" distL="0" distR="0" wp14:anchorId="5EEEC528" wp14:editId="7F1F6892">
            <wp:extent cx="5943600" cy="711200"/>
            <wp:effectExtent l="0" t="0" r="0" b="0"/>
            <wp:docPr id="1355824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824911" name=""/>
                    <pic:cNvPicPr/>
                  </pic:nvPicPr>
                  <pic:blipFill>
                    <a:blip r:embed="rId10"/>
                    <a:stretch>
                      <a:fillRect/>
                    </a:stretch>
                  </pic:blipFill>
                  <pic:spPr>
                    <a:xfrm>
                      <a:off x="0" y="0"/>
                      <a:ext cx="5943600" cy="711200"/>
                    </a:xfrm>
                    <a:prstGeom prst="rect">
                      <a:avLst/>
                    </a:prstGeom>
                  </pic:spPr>
                </pic:pic>
              </a:graphicData>
            </a:graphic>
          </wp:inline>
        </w:drawing>
      </w:r>
    </w:p>
    <w:p w14:paraId="072AA306" w14:textId="093C44C8" w:rsidR="00B01C81" w:rsidRDefault="000221E8" w:rsidP="00B01C81">
      <w:pPr>
        <w:spacing w:after="0"/>
      </w:pPr>
      <w:r>
        <w:t>Note</w:t>
      </w:r>
      <w:r w:rsidR="00B01C81">
        <w:t xml:space="preserve"> 1: “</w:t>
      </w:r>
      <w:r w:rsidR="00B01C81" w:rsidRPr="00B01C81">
        <w:rPr>
          <w:b/>
          <w:bCs/>
        </w:rPr>
        <w:t>Assigned</w:t>
      </w:r>
      <w:r w:rsidR="00B01C81">
        <w:t xml:space="preserve">” numbers are defined as "numbers working in the </w:t>
      </w:r>
      <w:proofErr w:type="gramStart"/>
      <w:r w:rsidR="00B01C81">
        <w:t>Public</w:t>
      </w:r>
      <w:proofErr w:type="gramEnd"/>
      <w:r w:rsidR="00B01C81">
        <w:t xml:space="preserve"> </w:t>
      </w:r>
    </w:p>
    <w:p w14:paraId="09BCC2B9" w14:textId="77777777" w:rsidR="00B01C81" w:rsidRDefault="00B01C81" w:rsidP="00B01C81">
      <w:pPr>
        <w:spacing w:after="0"/>
      </w:pPr>
      <w:r>
        <w:t xml:space="preserve">Switched Telephone Network under an agreement such as a contract or tariff at the request of </w:t>
      </w:r>
    </w:p>
    <w:p w14:paraId="2986E6C2" w14:textId="77777777" w:rsidR="00B01C81" w:rsidRDefault="00B01C81" w:rsidP="00B01C81">
      <w:pPr>
        <w:spacing w:after="0"/>
      </w:pPr>
      <w:r>
        <w:t xml:space="preserve">specific end users or customers for their use, or numbers not yet working but having a </w:t>
      </w:r>
      <w:proofErr w:type="gramStart"/>
      <w:r>
        <w:t>customer</w:t>
      </w:r>
      <w:proofErr w:type="gramEnd"/>
      <w:r>
        <w:t xml:space="preserve"> </w:t>
      </w:r>
    </w:p>
    <w:p w14:paraId="374F791E" w14:textId="77777777" w:rsidR="00B01C81" w:rsidRDefault="00B01C81" w:rsidP="00B01C81">
      <w:pPr>
        <w:spacing w:after="0"/>
      </w:pPr>
      <w:r>
        <w:t xml:space="preserve">service order pending. Numbers that are not yet working and have a service order pending for </w:t>
      </w:r>
    </w:p>
    <w:p w14:paraId="4CF21920" w14:textId="077B90FE" w:rsidR="00B01C81" w:rsidRDefault="00B01C81" w:rsidP="00B01C81">
      <w:pPr>
        <w:spacing w:after="0"/>
      </w:pPr>
      <w:r>
        <w:t>more than five days shall not be classified as assigned numbers.</w:t>
      </w:r>
      <w:r>
        <w:rPr>
          <w:rStyle w:val="FootnoteReference"/>
        </w:rPr>
        <w:footnoteReference w:id="2"/>
      </w:r>
    </w:p>
    <w:p w14:paraId="5C81D98C" w14:textId="77777777" w:rsidR="00B01C81" w:rsidRDefault="00B01C81" w:rsidP="000221E8">
      <w:pPr>
        <w:spacing w:after="0"/>
      </w:pPr>
    </w:p>
    <w:p w14:paraId="6EB79B64" w14:textId="71AE117C" w:rsidR="000221E8" w:rsidRDefault="00B01C81" w:rsidP="000221E8">
      <w:pPr>
        <w:spacing w:after="0"/>
      </w:pPr>
      <w:r>
        <w:t>Note 2:</w:t>
      </w:r>
      <w:r w:rsidR="000221E8">
        <w:t xml:space="preserve"> </w:t>
      </w:r>
      <w:r w:rsidR="00A06AEC">
        <w:t>“</w:t>
      </w:r>
      <w:r w:rsidR="000221E8" w:rsidRPr="00A06AEC">
        <w:rPr>
          <w:b/>
          <w:bCs/>
        </w:rPr>
        <w:t>Intermediate</w:t>
      </w:r>
      <w:r w:rsidR="00A06AEC">
        <w:t>”</w:t>
      </w:r>
      <w:r w:rsidR="000221E8">
        <w:t xml:space="preserve"> numbers are defined as "numbers that are made available for use by another telecommunications carrier or non-carrier entity for the purpose of providing </w:t>
      </w:r>
      <w:r w:rsidR="00A06AEC">
        <w:t>t</w:t>
      </w:r>
      <w:r w:rsidR="000221E8">
        <w:t xml:space="preserve">elecommunications service to an end user or customer." An exception to this requirement is numbers ported for the purpose of transferring an established customer's service to another service provider, in which case the numbers are classified as "Assigned" by the porting carrier and not counted by the receiving carrier. For intermediate numbers provided by carriers to non-carrier entities, the providing carrier must report utilization for these numbers. Numbers assigned to end users by a non-carrier entity should be reported by the providing carrier as "Assigned." Any </w:t>
      </w:r>
      <w:r w:rsidR="002413BB">
        <w:t>r</w:t>
      </w:r>
      <w:r w:rsidR="000221E8">
        <w:t>emaining numbers held by a non-carrier entity that are not assigned to end users shall be reported by the providing carrier as "Intermediate." The sum of numbers reported by the carrier for the non-carrier entity in these two categories should always equal the total of numbers held by the non-carrier entity.</w:t>
      </w:r>
      <w:r>
        <w:rPr>
          <w:rStyle w:val="FootnoteReference"/>
        </w:rPr>
        <w:footnoteReference w:id="3"/>
      </w:r>
      <w:r w:rsidR="000221E8">
        <w:t xml:space="preserve"> </w:t>
      </w:r>
    </w:p>
    <w:p w14:paraId="6FE57422" w14:textId="77777777" w:rsidR="000221E8" w:rsidRDefault="000221E8" w:rsidP="000221E8">
      <w:pPr>
        <w:spacing w:after="0"/>
      </w:pPr>
    </w:p>
    <w:p w14:paraId="6BFD28B8" w14:textId="4A65DADF" w:rsidR="00B01C81" w:rsidRDefault="00B01C81" w:rsidP="000221E8">
      <w:pPr>
        <w:spacing w:after="0"/>
      </w:pPr>
      <w:r>
        <w:t>Note 3:</w:t>
      </w:r>
      <w:r>
        <w:tab/>
      </w:r>
      <w:r w:rsidR="000221E8">
        <w:t xml:space="preserve">Utilization </w:t>
      </w:r>
      <w:r>
        <w:t>equals “Assigned numbers</w:t>
      </w:r>
      <w:proofErr w:type="gramStart"/>
      <w:r>
        <w:t>/(</w:t>
      </w:r>
      <w:proofErr w:type="gramEnd"/>
      <w:r>
        <w:t>Received numbers – Intermediate numbers)</w:t>
      </w:r>
      <w:r w:rsidR="002413BB">
        <w:t>.  See formula in spreadsheet.</w:t>
      </w:r>
    </w:p>
    <w:p w14:paraId="474B6886" w14:textId="408A8550" w:rsidR="00B01C81" w:rsidRDefault="00B01C81"/>
    <w:p w14:paraId="4F4E0FC2" w14:textId="4D3FFE41" w:rsidR="000221E8" w:rsidRDefault="00B01C81" w:rsidP="000221E8">
      <w:pPr>
        <w:spacing w:after="0"/>
        <w:rPr>
          <w:b/>
          <w:bCs/>
        </w:rPr>
      </w:pPr>
      <w:r w:rsidRPr="00B01C81">
        <w:rPr>
          <w:b/>
          <w:bCs/>
        </w:rPr>
        <w:t>Forecast</w:t>
      </w:r>
    </w:p>
    <w:p w14:paraId="7B032EF0" w14:textId="77777777" w:rsidR="00B01C81" w:rsidRDefault="00B01C81" w:rsidP="000221E8">
      <w:pPr>
        <w:spacing w:after="0"/>
        <w:rPr>
          <w:b/>
          <w:bCs/>
        </w:rPr>
      </w:pPr>
    </w:p>
    <w:p w14:paraId="28874C42" w14:textId="6A34FC3B" w:rsidR="008E4BDB" w:rsidRDefault="00B01C81" w:rsidP="000221E8">
      <w:pPr>
        <w:spacing w:after="0"/>
      </w:pPr>
      <w:r>
        <w:t xml:space="preserve">Two forms are </w:t>
      </w:r>
      <w:r w:rsidR="008E4BDB">
        <w:t xml:space="preserve">typically </w:t>
      </w:r>
      <w:r>
        <w:t>required</w:t>
      </w:r>
      <w:r w:rsidR="008E4BDB">
        <w:t xml:space="preserve"> for carriers involved in pool areas, Form F-1a, and Form F1-b.</w:t>
      </w:r>
    </w:p>
    <w:p w14:paraId="33A1AD09" w14:textId="77777777" w:rsidR="008E4BDB" w:rsidRDefault="008E4BDB" w:rsidP="000221E8">
      <w:pPr>
        <w:spacing w:after="0"/>
      </w:pPr>
    </w:p>
    <w:p w14:paraId="18B7F9AC" w14:textId="1BC1CB12" w:rsidR="008E4BDB" w:rsidRDefault="008E4BDB" w:rsidP="000221E8">
      <w:pPr>
        <w:spacing w:after="0"/>
      </w:pPr>
      <w:r>
        <w:t>Form F-</w:t>
      </w:r>
      <w:proofErr w:type="gramStart"/>
      <w:r>
        <w:t>1a</w:t>
      </w:r>
      <w:proofErr w:type="gramEnd"/>
    </w:p>
    <w:p w14:paraId="05B4717E" w14:textId="6CF350BE" w:rsidR="008E4BDB" w:rsidRDefault="008E4BDB" w:rsidP="000221E8">
      <w:pPr>
        <w:spacing w:after="0"/>
      </w:pPr>
      <w:r w:rsidRPr="008E4BDB">
        <w:rPr>
          <w:noProof/>
        </w:rPr>
        <w:drawing>
          <wp:inline distT="0" distB="0" distL="0" distR="0" wp14:anchorId="4D6D6A6E" wp14:editId="7903A835">
            <wp:extent cx="5943600" cy="599440"/>
            <wp:effectExtent l="0" t="0" r="0" b="0"/>
            <wp:docPr id="1445669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669079" name=""/>
                    <pic:cNvPicPr/>
                  </pic:nvPicPr>
                  <pic:blipFill>
                    <a:blip r:embed="rId11"/>
                    <a:stretch>
                      <a:fillRect/>
                    </a:stretch>
                  </pic:blipFill>
                  <pic:spPr>
                    <a:xfrm>
                      <a:off x="0" y="0"/>
                      <a:ext cx="5943600" cy="599440"/>
                    </a:xfrm>
                    <a:prstGeom prst="rect">
                      <a:avLst/>
                    </a:prstGeom>
                  </pic:spPr>
                </pic:pic>
              </a:graphicData>
            </a:graphic>
          </wp:inline>
        </w:drawing>
      </w:r>
    </w:p>
    <w:p w14:paraId="0CF60EF0" w14:textId="77777777" w:rsidR="008E4BDB" w:rsidRDefault="008E4BDB" w:rsidP="000221E8">
      <w:pPr>
        <w:spacing w:after="0"/>
      </w:pPr>
    </w:p>
    <w:p w14:paraId="7CC5095B" w14:textId="4C87F70C" w:rsidR="008E4BDB" w:rsidRDefault="008E4BDB" w:rsidP="000221E8">
      <w:pPr>
        <w:spacing w:after="0"/>
      </w:pPr>
      <w:r>
        <w:t>Form F-</w:t>
      </w:r>
      <w:proofErr w:type="gramStart"/>
      <w:r>
        <w:t>1b</w:t>
      </w:r>
      <w:proofErr w:type="gramEnd"/>
    </w:p>
    <w:p w14:paraId="79EB6494" w14:textId="743F1354" w:rsidR="008E4BDB" w:rsidRDefault="008E4BDB" w:rsidP="000221E8">
      <w:pPr>
        <w:spacing w:after="0"/>
      </w:pPr>
      <w:r w:rsidRPr="008E4BDB">
        <w:rPr>
          <w:noProof/>
        </w:rPr>
        <w:drawing>
          <wp:inline distT="0" distB="0" distL="0" distR="0" wp14:anchorId="32D57F25" wp14:editId="5DBD9668">
            <wp:extent cx="5943600" cy="517525"/>
            <wp:effectExtent l="0" t="0" r="0" b="0"/>
            <wp:docPr id="1158733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33674" name=""/>
                    <pic:cNvPicPr/>
                  </pic:nvPicPr>
                  <pic:blipFill>
                    <a:blip r:embed="rId12"/>
                    <a:stretch>
                      <a:fillRect/>
                    </a:stretch>
                  </pic:blipFill>
                  <pic:spPr>
                    <a:xfrm>
                      <a:off x="0" y="0"/>
                      <a:ext cx="5943600" cy="517525"/>
                    </a:xfrm>
                    <a:prstGeom prst="rect">
                      <a:avLst/>
                    </a:prstGeom>
                  </pic:spPr>
                </pic:pic>
              </a:graphicData>
            </a:graphic>
          </wp:inline>
        </w:drawing>
      </w:r>
    </w:p>
    <w:p w14:paraId="35255571" w14:textId="77777777" w:rsidR="008E4BDB" w:rsidRDefault="008E4BDB" w:rsidP="000221E8">
      <w:pPr>
        <w:spacing w:after="0"/>
      </w:pPr>
    </w:p>
    <w:p w14:paraId="14FB0A6D" w14:textId="77777777" w:rsidR="008E4BDB" w:rsidRDefault="008E4BDB" w:rsidP="000221E8">
      <w:pPr>
        <w:spacing w:after="0"/>
      </w:pPr>
    </w:p>
    <w:p w14:paraId="0BBEEEF0" w14:textId="1C2B51DA" w:rsidR="008E4BDB" w:rsidRPr="00283A30" w:rsidRDefault="008E4BDB" w:rsidP="000221E8">
      <w:pPr>
        <w:spacing w:after="0"/>
        <w:rPr>
          <w:b/>
          <w:bCs/>
        </w:rPr>
      </w:pPr>
      <w:r w:rsidRPr="00283A30">
        <w:rPr>
          <w:b/>
          <w:bCs/>
        </w:rPr>
        <w:t>Recommendations to Improve Number Utilization in Canada:</w:t>
      </w:r>
    </w:p>
    <w:p w14:paraId="44BF922A" w14:textId="77777777" w:rsidR="008E4BDB" w:rsidRDefault="008E4BDB" w:rsidP="000221E8">
      <w:pPr>
        <w:spacing w:after="0"/>
      </w:pPr>
    </w:p>
    <w:p w14:paraId="2093F9CC" w14:textId="2A0BF0D3" w:rsidR="008E4BDB" w:rsidRDefault="008E4BDB" w:rsidP="008E4BDB">
      <w:pPr>
        <w:pStyle w:val="ListParagraph"/>
        <w:numPr>
          <w:ilvl w:val="0"/>
          <w:numId w:val="3"/>
        </w:numPr>
        <w:spacing w:after="0"/>
      </w:pPr>
      <w:r>
        <w:t>Canada adopt Utilization reporting by Exchange Area at the Thousands-Block level in all areas where Thousands-Block pooling is (or will be in effect).</w:t>
      </w:r>
    </w:p>
    <w:p w14:paraId="11DDFD86" w14:textId="77777777" w:rsidR="008E4BDB" w:rsidRDefault="008E4BDB" w:rsidP="008E4BDB">
      <w:pPr>
        <w:pStyle w:val="ListParagraph"/>
        <w:numPr>
          <w:ilvl w:val="0"/>
          <w:numId w:val="3"/>
        </w:numPr>
        <w:spacing w:after="0"/>
      </w:pPr>
      <w:r>
        <w:t xml:space="preserve">Canada </w:t>
      </w:r>
      <w:proofErr w:type="gramStart"/>
      <w:r>
        <w:t>adopt</w:t>
      </w:r>
      <w:proofErr w:type="gramEnd"/>
      <w:r>
        <w:t xml:space="preserve"> reporting of Intermediate numbers in calculation of Utilization.</w:t>
      </w:r>
    </w:p>
    <w:p w14:paraId="43E46868" w14:textId="0C53C038" w:rsidR="008E4BDB" w:rsidRDefault="008E4BDB" w:rsidP="008E4BDB">
      <w:pPr>
        <w:pStyle w:val="ListParagraph"/>
        <w:numPr>
          <w:ilvl w:val="0"/>
          <w:numId w:val="3"/>
        </w:numPr>
        <w:spacing w:after="0"/>
      </w:pPr>
      <w:r>
        <w:t>Canada adopt Forecasts by Exchange Area at the Thousands-Block level in all areas where Thousands-Block pooling is (or will be in effect).</w:t>
      </w:r>
    </w:p>
    <w:p w14:paraId="5776514D" w14:textId="38F6F780" w:rsidR="008E4BDB" w:rsidRDefault="008E4BDB" w:rsidP="008E4BDB">
      <w:pPr>
        <w:spacing w:after="0"/>
      </w:pPr>
      <w:r>
        <w:t xml:space="preserve">  </w:t>
      </w:r>
    </w:p>
    <w:p w14:paraId="28E0D840" w14:textId="77777777" w:rsidR="00283A30" w:rsidRPr="00283A30" w:rsidRDefault="00283A30" w:rsidP="008E4BDB">
      <w:pPr>
        <w:spacing w:after="0"/>
        <w:rPr>
          <w:b/>
          <w:bCs/>
        </w:rPr>
      </w:pPr>
      <w:r w:rsidRPr="00283A30">
        <w:rPr>
          <w:b/>
          <w:bCs/>
        </w:rPr>
        <w:t>Rationale</w:t>
      </w:r>
    </w:p>
    <w:p w14:paraId="0367126A" w14:textId="77777777" w:rsidR="00283A30" w:rsidRDefault="00283A30" w:rsidP="008E4BDB">
      <w:pPr>
        <w:spacing w:after="0"/>
      </w:pPr>
    </w:p>
    <w:p w14:paraId="4DBA4F2E" w14:textId="54D4D11C" w:rsidR="008E4BDB" w:rsidRDefault="008E4BDB" w:rsidP="008E4BDB">
      <w:pPr>
        <w:spacing w:after="0"/>
      </w:pPr>
      <w:r>
        <w:t xml:space="preserve">Utilization reporting by Exchange Area will help ensure that carriers can examine their inventories and return blocks where utilization levels are low.  </w:t>
      </w:r>
    </w:p>
    <w:p w14:paraId="4A661ECE" w14:textId="77777777" w:rsidR="008E4BDB" w:rsidRDefault="008E4BDB" w:rsidP="008E4BDB">
      <w:pPr>
        <w:spacing w:after="0"/>
      </w:pPr>
    </w:p>
    <w:p w14:paraId="2966D09B" w14:textId="0AF4A101" w:rsidR="008E4BDB" w:rsidRDefault="008E4BDB" w:rsidP="008E4BDB">
      <w:pPr>
        <w:spacing w:after="0"/>
      </w:pPr>
      <w:r>
        <w:t xml:space="preserve">Reporting of Intermediate numbers will </w:t>
      </w:r>
      <w:r w:rsidR="00283A30">
        <w:t>allow for better tracking of true utilization by a carrier and accountability for numbers provided to resellers.</w:t>
      </w:r>
    </w:p>
    <w:p w14:paraId="2BD4DE14" w14:textId="77777777" w:rsidR="00283A30" w:rsidRDefault="00283A30" w:rsidP="008E4BDB">
      <w:pPr>
        <w:spacing w:after="0"/>
      </w:pPr>
    </w:p>
    <w:p w14:paraId="7DAC6501" w14:textId="49BD1802" w:rsidR="00283A30" w:rsidRPr="00B01C81" w:rsidRDefault="00283A30" w:rsidP="008E4BDB">
      <w:pPr>
        <w:spacing w:after="0"/>
      </w:pPr>
      <w:r>
        <w:t>Exchange Area level forecasting is necessary to provide carriers with the flexibility for pool replenishment requests (i.e., a new CO code) even when there are sufficient Thousands-Blocks in a pool to meet the immediate request so long as the remaining six month forecasted demand is greater than the blocks in the pool.</w:t>
      </w:r>
    </w:p>
    <w:sectPr w:rsidR="00283A30" w:rsidRPr="00B01C81" w:rsidSect="00013E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0C5BF" w14:textId="77777777" w:rsidR="00013E13" w:rsidRDefault="00013E13" w:rsidP="0015607C">
      <w:pPr>
        <w:spacing w:after="0" w:line="240" w:lineRule="auto"/>
      </w:pPr>
      <w:r>
        <w:separator/>
      </w:r>
    </w:p>
  </w:endnote>
  <w:endnote w:type="continuationSeparator" w:id="0">
    <w:p w14:paraId="67D742B0" w14:textId="77777777" w:rsidR="00013E13" w:rsidRDefault="00013E13" w:rsidP="0015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CADAD" w14:textId="77777777" w:rsidR="00013E13" w:rsidRDefault="00013E13" w:rsidP="0015607C">
      <w:pPr>
        <w:spacing w:after="0" w:line="240" w:lineRule="auto"/>
      </w:pPr>
      <w:r>
        <w:separator/>
      </w:r>
    </w:p>
  </w:footnote>
  <w:footnote w:type="continuationSeparator" w:id="0">
    <w:p w14:paraId="170B6BC3" w14:textId="77777777" w:rsidR="00013E13" w:rsidRDefault="00013E13" w:rsidP="0015607C">
      <w:pPr>
        <w:spacing w:after="0" w:line="240" w:lineRule="auto"/>
      </w:pPr>
      <w:r>
        <w:continuationSeparator/>
      </w:r>
    </w:p>
  </w:footnote>
  <w:footnote w:id="1">
    <w:p w14:paraId="052AD765" w14:textId="4B93F2F4" w:rsidR="0015607C" w:rsidRPr="0015607C" w:rsidRDefault="0015607C">
      <w:pPr>
        <w:pStyle w:val="FootnoteText"/>
        <w:rPr>
          <w:lang w:val="en-US"/>
        </w:rPr>
      </w:pPr>
      <w:r>
        <w:rPr>
          <w:rStyle w:val="FootnoteReference"/>
        </w:rPr>
        <w:footnoteRef/>
      </w:r>
      <w:r>
        <w:t xml:space="preserve"> </w:t>
      </w:r>
      <w:hyperlink r:id="rId1" w:history="1">
        <w:r w:rsidRPr="00CA3017">
          <w:rPr>
            <w:rStyle w:val="Hyperlink"/>
          </w:rPr>
          <w:t>https://nationalnanpa.com/nruf/index.html</w:t>
        </w:r>
      </w:hyperlink>
      <w:r>
        <w:t xml:space="preserve"> </w:t>
      </w:r>
    </w:p>
  </w:footnote>
  <w:footnote w:id="2">
    <w:p w14:paraId="2A761074" w14:textId="483D1E25" w:rsidR="00B01C81" w:rsidRPr="00B01C81" w:rsidRDefault="00B01C81">
      <w:pPr>
        <w:pStyle w:val="FootnoteText"/>
        <w:rPr>
          <w:lang w:val="en-US"/>
        </w:rPr>
      </w:pPr>
      <w:r>
        <w:rPr>
          <w:rStyle w:val="FootnoteReference"/>
        </w:rPr>
        <w:footnoteRef/>
      </w:r>
      <w:r>
        <w:t xml:space="preserve"> </w:t>
      </w:r>
      <w:hyperlink r:id="rId2" w:history="1">
        <w:r w:rsidRPr="00CA3017">
          <w:rPr>
            <w:rStyle w:val="Hyperlink"/>
          </w:rPr>
          <w:t>https://nationalnanpa.com/pdf/NRUF/Geographic_NRUF_Instructions.pdf</w:t>
        </w:r>
      </w:hyperlink>
      <w:r>
        <w:t xml:space="preserve"> </w:t>
      </w:r>
    </w:p>
  </w:footnote>
  <w:footnote w:id="3">
    <w:p w14:paraId="63FD7F9F" w14:textId="12EEADC1" w:rsidR="00B01C81" w:rsidRPr="00B01C81" w:rsidRDefault="00B01C81">
      <w:pPr>
        <w:pStyle w:val="FootnoteText"/>
        <w:rPr>
          <w:lang w:val="en-US"/>
        </w:rPr>
      </w:pPr>
      <w:r>
        <w:rPr>
          <w:rStyle w:val="FootnoteReference"/>
        </w:rPr>
        <w:footnoteRef/>
      </w:r>
      <w:r>
        <w:t xml:space="preserve"> </w:t>
      </w:r>
      <w:hyperlink r:id="rId3" w:history="1">
        <w:r w:rsidRPr="00CA3017">
          <w:rPr>
            <w:rStyle w:val="Hyperlink"/>
          </w:rPr>
          <w:t>https://nationalnanpa.com/pdf/NRUF/Geographic_NRUF_Instructions.pdf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B624BB"/>
    <w:multiLevelType w:val="hybridMultilevel"/>
    <w:tmpl w:val="202460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33D4396"/>
    <w:multiLevelType w:val="hybridMultilevel"/>
    <w:tmpl w:val="A4EC75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EE1A96"/>
    <w:multiLevelType w:val="multilevel"/>
    <w:tmpl w:val="62A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511269">
    <w:abstractNumId w:val="2"/>
  </w:num>
  <w:num w:numId="2" w16cid:durableId="1404063914">
    <w:abstractNumId w:val="1"/>
  </w:num>
  <w:num w:numId="3" w16cid:durableId="110541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7C"/>
    <w:rsid w:val="00013E13"/>
    <w:rsid w:val="000221E8"/>
    <w:rsid w:val="00072C9C"/>
    <w:rsid w:val="0015607C"/>
    <w:rsid w:val="002413BB"/>
    <w:rsid w:val="00283A30"/>
    <w:rsid w:val="004D0657"/>
    <w:rsid w:val="00756E33"/>
    <w:rsid w:val="0083638B"/>
    <w:rsid w:val="008E4BDB"/>
    <w:rsid w:val="00A06AEC"/>
    <w:rsid w:val="00B01C81"/>
    <w:rsid w:val="00E31187"/>
    <w:rsid w:val="00F21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20B6"/>
  <w15:chartTrackingRefBased/>
  <w15:docId w15:val="{8077C822-1938-4458-BDE6-453365C1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0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60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60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60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60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60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60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60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60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0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60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60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60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60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60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60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60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607C"/>
    <w:rPr>
      <w:rFonts w:eastAsiaTheme="majorEastAsia" w:cstheme="majorBidi"/>
      <w:color w:val="272727" w:themeColor="text1" w:themeTint="D8"/>
    </w:rPr>
  </w:style>
  <w:style w:type="paragraph" w:styleId="Title">
    <w:name w:val="Title"/>
    <w:basedOn w:val="Normal"/>
    <w:next w:val="Normal"/>
    <w:link w:val="TitleChar"/>
    <w:uiPriority w:val="10"/>
    <w:qFormat/>
    <w:rsid w:val="001560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0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60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60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607C"/>
    <w:pPr>
      <w:spacing w:before="160"/>
      <w:jc w:val="center"/>
    </w:pPr>
    <w:rPr>
      <w:i/>
      <w:iCs/>
      <w:color w:val="404040" w:themeColor="text1" w:themeTint="BF"/>
    </w:rPr>
  </w:style>
  <w:style w:type="character" w:customStyle="1" w:styleId="QuoteChar">
    <w:name w:val="Quote Char"/>
    <w:basedOn w:val="DefaultParagraphFont"/>
    <w:link w:val="Quote"/>
    <w:uiPriority w:val="29"/>
    <w:rsid w:val="0015607C"/>
    <w:rPr>
      <w:i/>
      <w:iCs/>
      <w:color w:val="404040" w:themeColor="text1" w:themeTint="BF"/>
    </w:rPr>
  </w:style>
  <w:style w:type="paragraph" w:styleId="ListParagraph">
    <w:name w:val="List Paragraph"/>
    <w:basedOn w:val="Normal"/>
    <w:uiPriority w:val="34"/>
    <w:qFormat/>
    <w:rsid w:val="0015607C"/>
    <w:pPr>
      <w:ind w:left="720"/>
      <w:contextualSpacing/>
    </w:pPr>
  </w:style>
  <w:style w:type="character" w:styleId="IntenseEmphasis">
    <w:name w:val="Intense Emphasis"/>
    <w:basedOn w:val="DefaultParagraphFont"/>
    <w:uiPriority w:val="21"/>
    <w:qFormat/>
    <w:rsid w:val="0015607C"/>
    <w:rPr>
      <w:i/>
      <w:iCs/>
      <w:color w:val="0F4761" w:themeColor="accent1" w:themeShade="BF"/>
    </w:rPr>
  </w:style>
  <w:style w:type="paragraph" w:styleId="IntenseQuote">
    <w:name w:val="Intense Quote"/>
    <w:basedOn w:val="Normal"/>
    <w:next w:val="Normal"/>
    <w:link w:val="IntenseQuoteChar"/>
    <w:uiPriority w:val="30"/>
    <w:qFormat/>
    <w:rsid w:val="001560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607C"/>
    <w:rPr>
      <w:i/>
      <w:iCs/>
      <w:color w:val="0F4761" w:themeColor="accent1" w:themeShade="BF"/>
    </w:rPr>
  </w:style>
  <w:style w:type="character" w:styleId="IntenseReference">
    <w:name w:val="Intense Reference"/>
    <w:basedOn w:val="DefaultParagraphFont"/>
    <w:uiPriority w:val="32"/>
    <w:qFormat/>
    <w:rsid w:val="0015607C"/>
    <w:rPr>
      <w:b/>
      <w:bCs/>
      <w:smallCaps/>
      <w:color w:val="0F4761" w:themeColor="accent1" w:themeShade="BF"/>
      <w:spacing w:val="5"/>
    </w:rPr>
  </w:style>
  <w:style w:type="paragraph" w:styleId="FootnoteText">
    <w:name w:val="footnote text"/>
    <w:basedOn w:val="Normal"/>
    <w:link w:val="FootnoteTextChar"/>
    <w:uiPriority w:val="99"/>
    <w:semiHidden/>
    <w:unhideWhenUsed/>
    <w:rsid w:val="00156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07C"/>
    <w:rPr>
      <w:sz w:val="20"/>
      <w:szCs w:val="20"/>
    </w:rPr>
  </w:style>
  <w:style w:type="character" w:styleId="FootnoteReference">
    <w:name w:val="footnote reference"/>
    <w:basedOn w:val="DefaultParagraphFont"/>
    <w:uiPriority w:val="99"/>
    <w:semiHidden/>
    <w:unhideWhenUsed/>
    <w:rsid w:val="0015607C"/>
    <w:rPr>
      <w:vertAlign w:val="superscript"/>
    </w:rPr>
  </w:style>
  <w:style w:type="character" w:styleId="Hyperlink">
    <w:name w:val="Hyperlink"/>
    <w:basedOn w:val="DefaultParagraphFont"/>
    <w:uiPriority w:val="99"/>
    <w:unhideWhenUsed/>
    <w:rsid w:val="0015607C"/>
    <w:rPr>
      <w:color w:val="467886" w:themeColor="hyperlink"/>
      <w:u w:val="single"/>
    </w:rPr>
  </w:style>
  <w:style w:type="character" w:styleId="UnresolvedMention">
    <w:name w:val="Unresolved Mention"/>
    <w:basedOn w:val="DefaultParagraphFont"/>
    <w:uiPriority w:val="99"/>
    <w:semiHidden/>
    <w:unhideWhenUsed/>
    <w:rsid w:val="0015607C"/>
    <w:rPr>
      <w:color w:val="605E5C"/>
      <w:shd w:val="clear" w:color="auto" w:fill="E1DFDD"/>
    </w:rPr>
  </w:style>
  <w:style w:type="paragraph" w:customStyle="1" w:styleId="subcontent">
    <w:name w:val="subcontent"/>
    <w:basedOn w:val="Normal"/>
    <w:rsid w:val="0015607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15607C"/>
    <w:rPr>
      <w:b/>
      <w:bCs/>
    </w:rPr>
  </w:style>
  <w:style w:type="paragraph" w:customStyle="1" w:styleId="listcontent">
    <w:name w:val="listcontent"/>
    <w:basedOn w:val="Normal"/>
    <w:rsid w:val="0015607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Header">
    <w:name w:val="header"/>
    <w:basedOn w:val="Normal"/>
    <w:link w:val="HeaderChar"/>
    <w:uiPriority w:val="99"/>
    <w:unhideWhenUsed/>
    <w:rsid w:val="0007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9C"/>
  </w:style>
  <w:style w:type="paragraph" w:styleId="Footer">
    <w:name w:val="footer"/>
    <w:basedOn w:val="Normal"/>
    <w:link w:val="FooterChar"/>
    <w:uiPriority w:val="99"/>
    <w:unhideWhenUsed/>
    <w:rsid w:val="0007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9C"/>
  </w:style>
  <w:style w:type="paragraph" w:styleId="NoSpacing">
    <w:name w:val="No Spacing"/>
    <w:link w:val="NoSpacingChar"/>
    <w:uiPriority w:val="1"/>
    <w:qFormat/>
    <w:rsid w:val="00072C9C"/>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072C9C"/>
    <w:rPr>
      <w:rFonts w:eastAsiaTheme="minorEastAsia"/>
      <w:kern w:val="0"/>
      <w:lang w:val="en-US"/>
      <w14:ligatures w14:val="none"/>
    </w:rPr>
  </w:style>
  <w:style w:type="paragraph" w:styleId="NormalWeb">
    <w:name w:val="Normal (Web)"/>
    <w:basedOn w:val="Normal"/>
    <w:uiPriority w:val="99"/>
    <w:semiHidden/>
    <w:unhideWhenUsed/>
    <w:rsid w:val="00072C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88662">
      <w:bodyDiv w:val="1"/>
      <w:marLeft w:val="0"/>
      <w:marRight w:val="0"/>
      <w:marTop w:val="0"/>
      <w:marBottom w:val="0"/>
      <w:divBdr>
        <w:top w:val="none" w:sz="0" w:space="0" w:color="auto"/>
        <w:left w:val="none" w:sz="0" w:space="0" w:color="auto"/>
        <w:bottom w:val="none" w:sz="0" w:space="0" w:color="auto"/>
        <w:right w:val="none" w:sz="0" w:space="0" w:color="auto"/>
      </w:divBdr>
    </w:div>
    <w:div w:id="108397573">
      <w:bodyDiv w:val="1"/>
      <w:marLeft w:val="0"/>
      <w:marRight w:val="0"/>
      <w:marTop w:val="0"/>
      <w:marBottom w:val="0"/>
      <w:divBdr>
        <w:top w:val="none" w:sz="0" w:space="0" w:color="auto"/>
        <w:left w:val="none" w:sz="0" w:space="0" w:color="auto"/>
        <w:bottom w:val="none" w:sz="0" w:space="0" w:color="auto"/>
        <w:right w:val="none" w:sz="0" w:space="0" w:color="auto"/>
      </w:divBdr>
    </w:div>
    <w:div w:id="4248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nanpa.com/pdf/NRUF/Jun16_NrufForm502Geo.xl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ationalnanpa.com/nruf_resources/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nanpa.com/pdf/NRUF/Geographic_NRUF_Instructions.pdf" TargetMode="External"/><Relationship Id="rId2" Type="http://schemas.openxmlformats.org/officeDocument/2006/relationships/hyperlink" Target="https://nationalnanpa.com/pdf/NRUF/Geographic_NRUF_Instructions.pdf" TargetMode="External"/><Relationship Id="rId1" Type="http://schemas.openxmlformats.org/officeDocument/2006/relationships/hyperlink" Target="https://nationalnanpa.com/nru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3E3BF-E26A-4B53-9297-A5FDA2AC9238}">
  <ds:schemaRefs>
    <ds:schemaRef ds:uri="http://schemas.openxmlformats.org/officeDocument/2006/bibliography"/>
  </ds:schemaRefs>
</ds:datastoreItem>
</file>

<file path=customXml/itemProps2.xml><?xml version="1.0" encoding="utf-8"?>
<ds:datastoreItem xmlns:ds="http://schemas.openxmlformats.org/officeDocument/2006/customXml" ds:itemID="{FDB71A25-918D-4E1A-AAB6-89064D215026}"/>
</file>

<file path=customXml/itemProps3.xml><?xml version="1.0" encoding="utf-8"?>
<ds:datastoreItem xmlns:ds="http://schemas.openxmlformats.org/officeDocument/2006/customXml" ds:itemID="{AB23FDE7-BEAA-457D-BAD0-B76AB40083B6}"/>
</file>

<file path=docProps/app.xml><?xml version="1.0" encoding="utf-8"?>
<Properties xmlns="http://schemas.openxmlformats.org/officeDocument/2006/extended-properties" xmlns:vt="http://schemas.openxmlformats.org/officeDocument/2006/docPropsVTypes">
  <Template>Normal.dotm</Template>
  <TotalTime>61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Antecol</dc:creator>
  <cp:keywords/>
  <dc:description/>
  <cp:lastModifiedBy>David Comrie</cp:lastModifiedBy>
  <cp:revision>4</cp:revision>
  <dcterms:created xsi:type="dcterms:W3CDTF">2024-05-07T13:35:00Z</dcterms:created>
  <dcterms:modified xsi:type="dcterms:W3CDTF">2024-05-07T16:39:00Z</dcterms:modified>
</cp:coreProperties>
</file>